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128EC" w14:textId="7B5B447C" w:rsidR="00512D3B" w:rsidRDefault="00EE234E" w:rsidP="008834B4">
      <w:pPr>
        <w:spacing w:after="120"/>
        <w:rPr>
          <w:sz w:val="20"/>
          <w:szCs w:val="20"/>
        </w:rPr>
      </w:pPr>
      <w:r>
        <w:rPr>
          <w:sz w:val="20"/>
          <w:szCs w:val="20"/>
        </w:rPr>
        <w:t>=</w:t>
      </w:r>
    </w:p>
    <w:p w14:paraId="5A0BB53B" w14:textId="4C49D12C" w:rsidR="00E34C0E" w:rsidRPr="007E1FC6" w:rsidRDefault="0073291E" w:rsidP="008834B4">
      <w:pPr>
        <w:spacing w:after="120"/>
        <w:rPr>
          <w:sz w:val="20"/>
          <w:szCs w:val="20"/>
        </w:rPr>
      </w:pPr>
      <w:r>
        <w:rPr>
          <w:sz w:val="20"/>
          <w:szCs w:val="20"/>
        </w:rPr>
        <w:t xml:space="preserve">Literature </w:t>
      </w:r>
      <w:r w:rsidR="000757FB">
        <w:rPr>
          <w:sz w:val="20"/>
          <w:szCs w:val="20"/>
        </w:rPr>
        <w:t>Review</w:t>
      </w:r>
      <w:r w:rsidR="00DB2A36">
        <w:rPr>
          <w:sz w:val="20"/>
          <w:szCs w:val="20"/>
        </w:rPr>
        <w:t xml:space="preserve"> (Preprint)</w:t>
      </w:r>
    </w:p>
    <w:p w14:paraId="61BC776B" w14:textId="77777777" w:rsidR="00F34C92" w:rsidRDefault="00F34C92" w:rsidP="00DB2A36">
      <w:pPr>
        <w:spacing w:after="120"/>
        <w:jc w:val="center"/>
        <w:rPr>
          <w:b/>
          <w:bCs/>
          <w:sz w:val="36"/>
          <w:szCs w:val="20"/>
        </w:rPr>
      </w:pPr>
    </w:p>
    <w:p w14:paraId="6AFA9EC6" w14:textId="2580AD74" w:rsidR="00F34C92" w:rsidRDefault="00417AEB" w:rsidP="00DB2A36">
      <w:pPr>
        <w:spacing w:after="120"/>
        <w:jc w:val="center"/>
        <w:rPr>
          <w:b/>
          <w:bCs/>
          <w:sz w:val="36"/>
          <w:szCs w:val="20"/>
        </w:rPr>
      </w:pPr>
      <w:r w:rsidRPr="00417AEB">
        <w:rPr>
          <w:b/>
          <w:bCs/>
          <w:sz w:val="36"/>
          <w:szCs w:val="20"/>
        </w:rPr>
        <w:t>Brain Overwork Syndrome: A Cross-Organ Clinical Model of Psychosocial Stressor–Driven Multi</w:t>
      </w:r>
      <w:r>
        <w:rPr>
          <w:b/>
          <w:bCs/>
          <w:sz w:val="36"/>
          <w:szCs w:val="20"/>
        </w:rPr>
        <w:t>-S</w:t>
      </w:r>
      <w:r w:rsidRPr="00417AEB">
        <w:rPr>
          <w:b/>
          <w:bCs/>
          <w:sz w:val="36"/>
          <w:szCs w:val="20"/>
        </w:rPr>
        <w:t>ymptom Presentations (Psychological and Physical)</w:t>
      </w:r>
    </w:p>
    <w:p w14:paraId="37FC0C55" w14:textId="77777777" w:rsidR="00F34C92" w:rsidRDefault="00F34C92" w:rsidP="00DB2A36">
      <w:pPr>
        <w:spacing w:after="120"/>
        <w:jc w:val="center"/>
        <w:rPr>
          <w:b/>
          <w:bCs/>
          <w:sz w:val="36"/>
          <w:szCs w:val="20"/>
        </w:rPr>
      </w:pPr>
    </w:p>
    <w:p w14:paraId="4918957D" w14:textId="31402774" w:rsidR="00F847A4" w:rsidRPr="006829D2" w:rsidRDefault="00417AEB" w:rsidP="0073291E">
      <w:pPr>
        <w:ind w:left="403"/>
        <w:jc w:val="center"/>
        <w:rPr>
          <w:b/>
          <w:sz w:val="20"/>
          <w:szCs w:val="20"/>
          <w:vertAlign w:val="superscript"/>
          <w:lang w:eastAsia="ja-JP"/>
        </w:rPr>
      </w:pPr>
      <w:r w:rsidRPr="006829D2">
        <w:rPr>
          <w:b/>
          <w:sz w:val="20"/>
          <w:szCs w:val="20"/>
        </w:rPr>
        <w:t>Tetsuya Hiramoto</w:t>
      </w:r>
      <w:r>
        <w:rPr>
          <w:b/>
          <w:sz w:val="20"/>
          <w:szCs w:val="20"/>
        </w:rPr>
        <w:t xml:space="preserve"> </w:t>
      </w:r>
      <w:r>
        <w:rPr>
          <w:b/>
          <w:sz w:val="20"/>
          <w:szCs w:val="20"/>
          <w:vertAlign w:val="superscript"/>
        </w:rPr>
        <w:t>1</w:t>
      </w:r>
      <w:r w:rsidRPr="006829D2">
        <w:rPr>
          <w:b/>
          <w:sz w:val="20"/>
          <w:szCs w:val="20"/>
          <w:vertAlign w:val="superscript"/>
        </w:rPr>
        <w:t>*</w:t>
      </w:r>
      <w:r>
        <w:rPr>
          <w:b/>
          <w:sz w:val="20"/>
          <w:szCs w:val="20"/>
        </w:rPr>
        <w:t xml:space="preserve">, </w:t>
      </w:r>
      <w:proofErr w:type="spellStart"/>
      <w:r>
        <w:rPr>
          <w:b/>
          <w:sz w:val="20"/>
          <w:szCs w:val="20"/>
        </w:rPr>
        <w:t>B</w:t>
      </w:r>
      <w:r w:rsidR="000757FB">
        <w:rPr>
          <w:b/>
          <w:sz w:val="20"/>
          <w:szCs w:val="20"/>
        </w:rPr>
        <w:t>attuvshin</w:t>
      </w:r>
      <w:proofErr w:type="spellEnd"/>
      <w:r w:rsidR="000757FB">
        <w:rPr>
          <w:b/>
          <w:sz w:val="20"/>
          <w:szCs w:val="20"/>
        </w:rPr>
        <w:t xml:space="preserve"> Lkhagvasuren</w:t>
      </w:r>
      <w:r>
        <w:rPr>
          <w:b/>
          <w:sz w:val="20"/>
          <w:szCs w:val="20"/>
        </w:rPr>
        <w:t xml:space="preserve"> </w:t>
      </w:r>
      <w:r>
        <w:rPr>
          <w:b/>
          <w:sz w:val="20"/>
          <w:szCs w:val="20"/>
          <w:vertAlign w:val="superscript"/>
        </w:rPr>
        <w:t>2</w:t>
      </w:r>
    </w:p>
    <w:p w14:paraId="203BD306" w14:textId="3D65077F" w:rsidR="00417AEB" w:rsidRDefault="00417AEB" w:rsidP="007D29A8">
      <w:pPr>
        <w:ind w:left="403"/>
        <w:jc w:val="both"/>
        <w:rPr>
          <w:sz w:val="18"/>
          <w:szCs w:val="18"/>
          <w:vertAlign w:val="superscript"/>
          <w:lang w:eastAsia="ja-JP"/>
        </w:rPr>
      </w:pPr>
      <w:r>
        <w:rPr>
          <w:iCs/>
          <w:sz w:val="18"/>
          <w:szCs w:val="20"/>
          <w:vertAlign w:val="superscript"/>
        </w:rPr>
        <w:t>1</w:t>
      </w:r>
      <w:r w:rsidRPr="006829D2">
        <w:rPr>
          <w:iCs/>
          <w:sz w:val="18"/>
          <w:szCs w:val="20"/>
        </w:rPr>
        <w:t>Departme</w:t>
      </w:r>
      <w:r w:rsidRPr="006829D2">
        <w:rPr>
          <w:iCs/>
          <w:sz w:val="18"/>
          <w:szCs w:val="18"/>
        </w:rPr>
        <w:t xml:space="preserve">nt of </w:t>
      </w:r>
      <w:r w:rsidRPr="006829D2">
        <w:rPr>
          <w:sz w:val="18"/>
          <w:szCs w:val="18"/>
        </w:rPr>
        <w:t>Psychosomatic Medicine</w:t>
      </w:r>
      <w:r w:rsidRPr="006829D2">
        <w:rPr>
          <w:iCs/>
          <w:sz w:val="18"/>
          <w:szCs w:val="18"/>
        </w:rPr>
        <w:t>, NHO</w:t>
      </w:r>
      <w:r w:rsidRPr="006829D2">
        <w:rPr>
          <w:iCs/>
          <w:sz w:val="18"/>
          <w:szCs w:val="20"/>
        </w:rPr>
        <w:t xml:space="preserve"> Fukuoka National Hospital, Fukuoka,</w:t>
      </w:r>
      <w:bookmarkStart w:id="0" w:name="_Hlk215924753"/>
      <w:r w:rsidRPr="006829D2">
        <w:rPr>
          <w:iCs/>
          <w:sz w:val="18"/>
          <w:szCs w:val="20"/>
        </w:rPr>
        <w:t xml:space="preserve"> Japan</w:t>
      </w:r>
      <w:bookmarkEnd w:id="0"/>
      <w:r>
        <w:rPr>
          <w:sz w:val="18"/>
          <w:szCs w:val="18"/>
          <w:vertAlign w:val="superscript"/>
          <w:lang w:eastAsia="ja-JP"/>
        </w:rPr>
        <w:t xml:space="preserve"> </w:t>
      </w:r>
    </w:p>
    <w:p w14:paraId="356F2940" w14:textId="5BDF6F71" w:rsidR="000757FB" w:rsidRDefault="00417AEB" w:rsidP="007D29A8">
      <w:pPr>
        <w:ind w:left="403"/>
        <w:jc w:val="both"/>
        <w:rPr>
          <w:sz w:val="18"/>
          <w:szCs w:val="18"/>
        </w:rPr>
      </w:pPr>
      <w:r>
        <w:rPr>
          <w:sz w:val="18"/>
          <w:szCs w:val="18"/>
          <w:vertAlign w:val="superscript"/>
          <w:lang w:eastAsia="ja-JP"/>
        </w:rPr>
        <w:t>2</w:t>
      </w:r>
      <w:r w:rsidR="000757FB" w:rsidRPr="006829D2">
        <w:rPr>
          <w:sz w:val="18"/>
          <w:szCs w:val="18"/>
        </w:rPr>
        <w:t>Department of Psychosomatic Medicine, Kyushu University Hospital, Fukuoka, Japan</w:t>
      </w:r>
    </w:p>
    <w:p w14:paraId="4F2BC1CA" w14:textId="1ABD3A96" w:rsidR="00385774" w:rsidRPr="006829D2" w:rsidRDefault="00385774" w:rsidP="007D29A8">
      <w:pPr>
        <w:ind w:left="403"/>
        <w:jc w:val="both"/>
        <w:rPr>
          <w:iCs/>
          <w:sz w:val="18"/>
          <w:szCs w:val="20"/>
          <w:lang w:eastAsia="ja-JP"/>
        </w:rPr>
      </w:pPr>
    </w:p>
    <w:p w14:paraId="11BB0DD7" w14:textId="77777777" w:rsidR="00F34C92" w:rsidRPr="006829D2" w:rsidRDefault="00F34C92" w:rsidP="00A5431A">
      <w:pPr>
        <w:ind w:left="403"/>
        <w:jc w:val="both"/>
        <w:rPr>
          <w:iCs/>
          <w:sz w:val="18"/>
          <w:szCs w:val="20"/>
          <w:lang w:eastAsia="ja-JP"/>
        </w:rPr>
      </w:pPr>
    </w:p>
    <w:p w14:paraId="35DA945C" w14:textId="77777777" w:rsidR="00A5431A" w:rsidRPr="00A5431A" w:rsidRDefault="00A5431A" w:rsidP="00A5431A">
      <w:pPr>
        <w:ind w:left="403"/>
        <w:jc w:val="both"/>
        <w:rPr>
          <w:iCs/>
          <w:color w:val="EE0000"/>
          <w:sz w:val="18"/>
          <w:szCs w:val="20"/>
          <w:lang w:eastAsia="ja-JP"/>
        </w:rPr>
      </w:pPr>
    </w:p>
    <w:tbl>
      <w:tblPr>
        <w:tblW w:w="9004" w:type="dxa"/>
        <w:tblLook w:val="04A0" w:firstRow="1" w:lastRow="0" w:firstColumn="1" w:lastColumn="0" w:noHBand="0" w:noVBand="1"/>
      </w:tblPr>
      <w:tblGrid>
        <w:gridCol w:w="2927"/>
        <w:gridCol w:w="6077"/>
      </w:tblGrid>
      <w:tr w:rsidR="00385774" w:rsidRPr="0073291E" w14:paraId="10592CD5" w14:textId="77777777" w:rsidTr="008C6F30">
        <w:trPr>
          <w:trHeight w:val="1226"/>
        </w:trPr>
        <w:tc>
          <w:tcPr>
            <w:tcW w:w="2518" w:type="dxa"/>
            <w:vMerge w:val="restart"/>
          </w:tcPr>
          <w:p w14:paraId="3B120A14" w14:textId="77777777" w:rsidR="00385774" w:rsidRPr="008C6F30" w:rsidRDefault="00385774" w:rsidP="008C6F30">
            <w:pPr>
              <w:spacing w:line="276" w:lineRule="auto"/>
              <w:rPr>
                <w:i/>
                <w:sz w:val="18"/>
                <w:szCs w:val="20"/>
              </w:rPr>
            </w:pPr>
            <w:r w:rsidRPr="008C6F30">
              <w:rPr>
                <w:i/>
                <w:sz w:val="18"/>
                <w:szCs w:val="20"/>
              </w:rPr>
              <w:t>Article history</w:t>
            </w:r>
          </w:p>
          <w:p w14:paraId="3C0C1D54" w14:textId="278B168C" w:rsidR="00417AEB" w:rsidRPr="00747F52" w:rsidRDefault="00417AEB" w:rsidP="00417AEB">
            <w:pPr>
              <w:spacing w:line="276" w:lineRule="auto"/>
              <w:rPr>
                <w:sz w:val="18"/>
                <w:szCs w:val="18"/>
              </w:rPr>
            </w:pPr>
            <w:r w:rsidRPr="00747F52">
              <w:rPr>
                <w:sz w:val="18"/>
                <w:szCs w:val="18"/>
              </w:rPr>
              <w:t xml:space="preserve">Received: </w:t>
            </w:r>
            <w:r>
              <w:rPr>
                <w:sz w:val="18"/>
                <w:szCs w:val="18"/>
              </w:rPr>
              <w:t>28</w:t>
            </w:r>
            <w:r w:rsidRPr="00747F52">
              <w:rPr>
                <w:sz w:val="18"/>
                <w:szCs w:val="18"/>
              </w:rPr>
              <w:t xml:space="preserve"> June 2026</w:t>
            </w:r>
            <w:r w:rsidRPr="00747F52">
              <w:rPr>
                <w:sz w:val="18"/>
                <w:szCs w:val="18"/>
              </w:rPr>
              <w:br/>
              <w:t xml:space="preserve">Accepted: </w:t>
            </w:r>
            <w:r>
              <w:rPr>
                <w:sz w:val="18"/>
                <w:szCs w:val="18"/>
              </w:rPr>
              <w:t>30</w:t>
            </w:r>
            <w:r w:rsidRPr="00747F52">
              <w:rPr>
                <w:sz w:val="18"/>
                <w:szCs w:val="18"/>
              </w:rPr>
              <w:t xml:space="preserve"> June 2026</w:t>
            </w:r>
          </w:p>
          <w:p w14:paraId="24E76C49" w14:textId="77777777" w:rsidR="00C17C98" w:rsidRPr="008C6F30" w:rsidRDefault="00C17C98" w:rsidP="00E34C0E">
            <w:pPr>
              <w:rPr>
                <w:sz w:val="18"/>
                <w:szCs w:val="20"/>
              </w:rPr>
            </w:pPr>
          </w:p>
          <w:p w14:paraId="6AF27187" w14:textId="77777777" w:rsidR="00564242" w:rsidRPr="006829D2" w:rsidRDefault="00C17C98" w:rsidP="00E34C0E">
            <w:pPr>
              <w:rPr>
                <w:sz w:val="18"/>
                <w:szCs w:val="18"/>
              </w:rPr>
            </w:pPr>
            <w:r w:rsidRPr="006829D2">
              <w:rPr>
                <w:sz w:val="18"/>
                <w:szCs w:val="18"/>
              </w:rPr>
              <w:t xml:space="preserve">*Corresponding Author: </w:t>
            </w:r>
          </w:p>
          <w:p w14:paraId="71FA3968" w14:textId="55C4C508" w:rsidR="00564242" w:rsidRPr="006829D2" w:rsidRDefault="00564242" w:rsidP="00564242">
            <w:pPr>
              <w:rPr>
                <w:sz w:val="18"/>
                <w:szCs w:val="18"/>
              </w:rPr>
            </w:pPr>
            <w:r w:rsidRPr="006829D2">
              <w:rPr>
                <w:sz w:val="18"/>
                <w:szCs w:val="18"/>
              </w:rPr>
              <w:t>Tetsuya Hiramoto, MD, PhD</w:t>
            </w:r>
            <w:r w:rsidRPr="006829D2">
              <w:rPr>
                <w:sz w:val="18"/>
                <w:szCs w:val="18"/>
              </w:rPr>
              <w:br/>
              <w:t>Department of Psychosomatic Medicine</w:t>
            </w:r>
            <w:r w:rsidRPr="006829D2">
              <w:rPr>
                <w:rFonts w:hint="eastAsia"/>
                <w:sz w:val="18"/>
                <w:szCs w:val="18"/>
                <w:lang w:eastAsia="ja-JP"/>
              </w:rPr>
              <w:t xml:space="preserve">, </w:t>
            </w:r>
            <w:r w:rsidRPr="006829D2">
              <w:rPr>
                <w:rFonts w:hint="eastAsia"/>
                <w:sz w:val="18"/>
                <w:szCs w:val="18"/>
              </w:rPr>
              <w:t>NHO</w:t>
            </w:r>
            <w:r w:rsidRPr="006829D2">
              <w:rPr>
                <w:sz w:val="18"/>
                <w:szCs w:val="18"/>
              </w:rPr>
              <w:t xml:space="preserve"> Fukuoka National Hospital, Fukuoka, Japan </w:t>
            </w:r>
          </w:p>
          <w:p w14:paraId="2779443E" w14:textId="77777777" w:rsidR="00564242" w:rsidRPr="006829D2" w:rsidRDefault="00564242" w:rsidP="00564242">
            <w:pPr>
              <w:rPr>
                <w:sz w:val="18"/>
                <w:szCs w:val="18"/>
              </w:rPr>
            </w:pPr>
            <w:r w:rsidRPr="006829D2">
              <w:rPr>
                <w:sz w:val="18"/>
                <w:szCs w:val="18"/>
              </w:rPr>
              <w:t xml:space="preserve">4-39-1 </w:t>
            </w:r>
            <w:proofErr w:type="spellStart"/>
            <w:r w:rsidRPr="006829D2">
              <w:rPr>
                <w:sz w:val="18"/>
                <w:szCs w:val="18"/>
              </w:rPr>
              <w:t>Yakatabaru</w:t>
            </w:r>
            <w:proofErr w:type="spellEnd"/>
            <w:r w:rsidRPr="006829D2">
              <w:rPr>
                <w:sz w:val="18"/>
                <w:szCs w:val="18"/>
              </w:rPr>
              <w:t>, Minami-</w:t>
            </w:r>
            <w:proofErr w:type="spellStart"/>
            <w:r w:rsidRPr="006829D2">
              <w:rPr>
                <w:sz w:val="18"/>
                <w:szCs w:val="18"/>
              </w:rPr>
              <w:t>ku</w:t>
            </w:r>
            <w:proofErr w:type="spellEnd"/>
            <w:r w:rsidRPr="006829D2">
              <w:rPr>
                <w:sz w:val="18"/>
                <w:szCs w:val="18"/>
              </w:rPr>
              <w:t>, Fukuoka 811-1394, Japan</w:t>
            </w:r>
            <w:r w:rsidRPr="006829D2">
              <w:rPr>
                <w:sz w:val="18"/>
                <w:szCs w:val="18"/>
              </w:rPr>
              <w:br/>
              <w:t>Tel.: +81-92-565-5534</w:t>
            </w:r>
            <w:r w:rsidRPr="006829D2">
              <w:rPr>
                <w:sz w:val="18"/>
                <w:szCs w:val="18"/>
              </w:rPr>
              <w:br/>
              <w:t>Fax: +81-92-566-0702</w:t>
            </w:r>
            <w:r w:rsidRPr="006829D2">
              <w:rPr>
                <w:sz w:val="18"/>
                <w:szCs w:val="18"/>
              </w:rPr>
              <w:br/>
              <w:t>E-mail: hiramoto.tetsuya.nd@mail.hosp.go.jp</w:t>
            </w:r>
          </w:p>
          <w:p w14:paraId="75853AE5" w14:textId="77777777" w:rsidR="00542D3F" w:rsidRDefault="00542D3F" w:rsidP="00E34C0E">
            <w:pPr>
              <w:rPr>
                <w:color w:val="EE0000"/>
                <w:sz w:val="18"/>
                <w:szCs w:val="20"/>
              </w:rPr>
            </w:pPr>
          </w:p>
          <w:p w14:paraId="5D31E6E3" w14:textId="73E54CFA" w:rsidR="00542D3F" w:rsidRPr="008C6F30" w:rsidRDefault="00542D3F" w:rsidP="00E34C0E">
            <w:pPr>
              <w:rPr>
                <w:sz w:val="20"/>
                <w:szCs w:val="20"/>
              </w:rPr>
            </w:pPr>
            <w:r w:rsidRPr="007E4FB7">
              <w:rPr>
                <w:sz w:val="18"/>
                <w:szCs w:val="18"/>
              </w:rPr>
              <w:t xml:space="preserve">DOI: </w:t>
            </w:r>
            <w:r w:rsidR="0073291E" w:rsidRPr="0073291E">
              <w:rPr>
                <w:sz w:val="18"/>
                <w:szCs w:val="18"/>
              </w:rPr>
              <w:t>10.5281/zenodo.</w:t>
            </w:r>
            <w:r w:rsidR="00417AEB" w:rsidRPr="00417AEB">
              <w:rPr>
                <w:sz w:val="18"/>
                <w:szCs w:val="18"/>
              </w:rPr>
              <w:t>21063554</w:t>
            </w:r>
          </w:p>
        </w:tc>
        <w:tc>
          <w:tcPr>
            <w:tcW w:w="6486" w:type="dxa"/>
            <w:vMerge w:val="restart"/>
            <w:tcBorders>
              <w:left w:val="single" w:sz="4" w:space="0" w:color="auto"/>
            </w:tcBorders>
            <w:vAlign w:val="center"/>
          </w:tcPr>
          <w:p w14:paraId="5E737F69" w14:textId="2DD34565" w:rsidR="00385774" w:rsidRPr="0073291E" w:rsidRDefault="00385774" w:rsidP="00FA3F3E">
            <w:pPr>
              <w:ind w:left="173"/>
              <w:jc w:val="both"/>
              <w:rPr>
                <w:sz w:val="20"/>
                <w:szCs w:val="20"/>
                <w:lang w:eastAsia="ja-JP"/>
              </w:rPr>
            </w:pPr>
            <w:r w:rsidRPr="0073291E">
              <w:rPr>
                <w:b/>
                <w:sz w:val="20"/>
                <w:szCs w:val="20"/>
              </w:rPr>
              <w:t>Abstract:</w:t>
            </w:r>
            <w:r w:rsidRPr="0073291E">
              <w:rPr>
                <w:sz w:val="20"/>
                <w:szCs w:val="20"/>
              </w:rPr>
              <w:t xml:space="preserve"> </w:t>
            </w:r>
            <w:r w:rsidR="00FA3F3E" w:rsidRPr="0073291E">
              <w:rPr>
                <w:sz w:val="20"/>
                <w:szCs w:val="20"/>
              </w:rPr>
              <w:t xml:space="preserve">This review describes the origins, symptoms, and mechanisms of psychosocial stressors and compares these with symptoms induced by physical stressors. Diverse stressors can elicit symptoms that signal threats to homeostasis. Although physical and psychosocial pathways may differ in their afferent inputs, they can converge on shared efferent outputs. </w:t>
            </w:r>
            <w:r w:rsidR="0073291E">
              <w:rPr>
                <w:sz w:val="20"/>
                <w:szCs w:val="20"/>
              </w:rPr>
              <w:t>Recent advances suggest</w:t>
            </w:r>
            <w:r w:rsidR="00FA3F3E" w:rsidRPr="0073291E">
              <w:rPr>
                <w:sz w:val="20"/>
                <w:szCs w:val="20"/>
              </w:rPr>
              <w:t xml:space="preserve"> that identifying symptom origins helps link symptoms to relevant effector systems and guides treatment selection. Emerging bidirectional neuroimmune mechanisms, key moderators, and technological innovations further refine this framework, highlighting the need for personalized interventions to reduce disease chronicity.</w:t>
            </w:r>
            <w:r w:rsidR="0073291E">
              <w:rPr>
                <w:sz w:val="20"/>
                <w:szCs w:val="20"/>
              </w:rPr>
              <w:t xml:space="preserve"> It is emphasized</w:t>
            </w:r>
            <w:r w:rsidR="00FA3F3E" w:rsidRPr="0073291E">
              <w:rPr>
                <w:sz w:val="20"/>
                <w:szCs w:val="20"/>
              </w:rPr>
              <w:t xml:space="preserve"> that identical symptoms may require different treatments depending on whether the triggering input is physical or psychosocial. Recognizing symptom origins is therefore essential to prevent diagnostic delay and avoid missed opportunities for timely care.</w:t>
            </w:r>
          </w:p>
          <w:p w14:paraId="0FEBBD08" w14:textId="77777777" w:rsidR="005B23C1" w:rsidRPr="0073291E" w:rsidRDefault="005B23C1" w:rsidP="00A76037">
            <w:pPr>
              <w:spacing w:line="276" w:lineRule="auto"/>
              <w:jc w:val="both"/>
              <w:rPr>
                <w:sz w:val="20"/>
                <w:szCs w:val="20"/>
                <w:lang w:eastAsia="ja-JP"/>
              </w:rPr>
            </w:pPr>
          </w:p>
          <w:p w14:paraId="61BFA63C" w14:textId="7505C3F3" w:rsidR="00385774" w:rsidRPr="0073291E" w:rsidRDefault="00385774" w:rsidP="008C6F30">
            <w:pPr>
              <w:spacing w:line="276" w:lineRule="auto"/>
              <w:ind w:left="173"/>
              <w:jc w:val="both"/>
              <w:rPr>
                <w:sz w:val="20"/>
                <w:szCs w:val="20"/>
              </w:rPr>
            </w:pPr>
            <w:r w:rsidRPr="0073291E">
              <w:rPr>
                <w:b/>
                <w:sz w:val="20"/>
                <w:szCs w:val="20"/>
              </w:rPr>
              <w:t>Keywords:</w:t>
            </w:r>
            <w:r w:rsidR="00564242" w:rsidRPr="0073291E">
              <w:rPr>
                <w:bCs/>
                <w:sz w:val="20"/>
                <w:szCs w:val="20"/>
              </w:rPr>
              <w:t xml:space="preserve"> </w:t>
            </w:r>
            <w:r w:rsidR="000757FB" w:rsidRPr="0073291E">
              <w:rPr>
                <w:bCs/>
                <w:sz w:val="20"/>
                <w:szCs w:val="20"/>
              </w:rPr>
              <w:t xml:space="preserve">stress; psychological stress; </w:t>
            </w:r>
            <w:r w:rsidR="00F34C92" w:rsidRPr="0073291E">
              <w:rPr>
                <w:bCs/>
                <w:sz w:val="20"/>
                <w:szCs w:val="20"/>
              </w:rPr>
              <w:t xml:space="preserve">mental distress; </w:t>
            </w:r>
            <w:r w:rsidR="00564242" w:rsidRPr="0073291E">
              <w:rPr>
                <w:bCs/>
                <w:sz w:val="20"/>
                <w:szCs w:val="20"/>
              </w:rPr>
              <w:t xml:space="preserve">depression; anxiety; </w:t>
            </w:r>
            <w:r w:rsidR="000757FB" w:rsidRPr="0073291E">
              <w:rPr>
                <w:bCs/>
                <w:sz w:val="20"/>
                <w:szCs w:val="20"/>
              </w:rPr>
              <w:t>neuroimmune crosstalk; mind and body interaction</w:t>
            </w:r>
            <w:r w:rsidR="00CB7084" w:rsidRPr="0073291E">
              <w:rPr>
                <w:bCs/>
                <w:sz w:val="20"/>
                <w:szCs w:val="20"/>
              </w:rPr>
              <w:t>.</w:t>
            </w:r>
          </w:p>
        </w:tc>
      </w:tr>
      <w:tr w:rsidR="00385774" w:rsidRPr="0073291E" w14:paraId="33496340" w14:textId="77777777" w:rsidTr="008C6F30">
        <w:trPr>
          <w:trHeight w:val="524"/>
        </w:trPr>
        <w:tc>
          <w:tcPr>
            <w:tcW w:w="2518" w:type="dxa"/>
            <w:vMerge/>
          </w:tcPr>
          <w:p w14:paraId="4819A379" w14:textId="77777777" w:rsidR="00385774" w:rsidRPr="008C6F30" w:rsidRDefault="00385774" w:rsidP="00E34C0E">
            <w:pPr>
              <w:rPr>
                <w:sz w:val="20"/>
                <w:szCs w:val="20"/>
              </w:rPr>
            </w:pPr>
          </w:p>
        </w:tc>
        <w:tc>
          <w:tcPr>
            <w:tcW w:w="6486" w:type="dxa"/>
            <w:vMerge/>
            <w:tcBorders>
              <w:top w:val="single" w:sz="4" w:space="0" w:color="auto"/>
              <w:left w:val="single" w:sz="4" w:space="0" w:color="auto"/>
            </w:tcBorders>
            <w:vAlign w:val="center"/>
          </w:tcPr>
          <w:p w14:paraId="1AA1265C" w14:textId="77777777" w:rsidR="00385774" w:rsidRPr="0073291E" w:rsidRDefault="00385774" w:rsidP="00E34C0E">
            <w:pPr>
              <w:rPr>
                <w:sz w:val="20"/>
                <w:szCs w:val="20"/>
              </w:rPr>
            </w:pPr>
          </w:p>
        </w:tc>
      </w:tr>
    </w:tbl>
    <w:p w14:paraId="21716133" w14:textId="77777777" w:rsidR="00E34C0E" w:rsidRPr="007E1FC6" w:rsidRDefault="00E34C0E" w:rsidP="00E34C0E">
      <w:pPr>
        <w:rPr>
          <w:sz w:val="20"/>
          <w:szCs w:val="20"/>
        </w:rPr>
      </w:pPr>
    </w:p>
    <w:p w14:paraId="67FAD3F3" w14:textId="77777777" w:rsidR="00E34C0E" w:rsidRDefault="00E34C0E" w:rsidP="00E34C0E">
      <w:pPr>
        <w:widowControl w:val="0"/>
        <w:autoSpaceDE w:val="0"/>
        <w:autoSpaceDN w:val="0"/>
        <w:adjustRightInd w:val="0"/>
        <w:spacing w:after="240"/>
        <w:rPr>
          <w:sz w:val="20"/>
          <w:szCs w:val="20"/>
        </w:rPr>
      </w:pPr>
    </w:p>
    <w:p w14:paraId="16A1B6EB" w14:textId="77777777" w:rsidR="003A3BF5" w:rsidRDefault="003A3BF5" w:rsidP="00E34C0E">
      <w:pPr>
        <w:widowControl w:val="0"/>
        <w:autoSpaceDE w:val="0"/>
        <w:autoSpaceDN w:val="0"/>
        <w:adjustRightInd w:val="0"/>
        <w:spacing w:after="240"/>
        <w:rPr>
          <w:sz w:val="20"/>
          <w:szCs w:val="20"/>
        </w:rPr>
      </w:pPr>
    </w:p>
    <w:p w14:paraId="15AA97EE" w14:textId="77777777" w:rsidR="000D3901" w:rsidRPr="007E1FC6" w:rsidRDefault="000D3901" w:rsidP="00E34C0E">
      <w:pPr>
        <w:widowControl w:val="0"/>
        <w:autoSpaceDE w:val="0"/>
        <w:autoSpaceDN w:val="0"/>
        <w:adjustRightInd w:val="0"/>
        <w:spacing w:after="240"/>
        <w:rPr>
          <w:sz w:val="20"/>
          <w:szCs w:val="20"/>
        </w:rPr>
        <w:sectPr w:rsidR="000D3901" w:rsidRPr="007E1FC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4C9333FE" w14:textId="77777777" w:rsidR="00E34C0E" w:rsidRPr="007E1FC6" w:rsidRDefault="00E34C0E" w:rsidP="00085B45">
      <w:pPr>
        <w:widowControl w:val="0"/>
        <w:autoSpaceDE w:val="0"/>
        <w:autoSpaceDN w:val="0"/>
        <w:adjustRightInd w:val="0"/>
        <w:spacing w:after="240" w:line="276" w:lineRule="auto"/>
        <w:jc w:val="both"/>
        <w:rPr>
          <w:b/>
          <w:szCs w:val="20"/>
        </w:rPr>
      </w:pPr>
      <w:r w:rsidRPr="007E1FC6">
        <w:rPr>
          <w:b/>
          <w:szCs w:val="20"/>
        </w:rPr>
        <w:t xml:space="preserve">Introduction </w:t>
      </w:r>
    </w:p>
    <w:p w14:paraId="5D105F0B" w14:textId="14F7B38B" w:rsidR="006C301A" w:rsidRPr="006C301A" w:rsidRDefault="006C301A" w:rsidP="006C301A">
      <w:pPr>
        <w:widowControl w:val="0"/>
        <w:autoSpaceDE w:val="0"/>
        <w:autoSpaceDN w:val="0"/>
        <w:adjustRightInd w:val="0"/>
        <w:spacing w:line="240" w:lineRule="exact"/>
        <w:ind w:firstLine="274"/>
        <w:jc w:val="both"/>
        <w:rPr>
          <w:spacing w:val="4"/>
          <w:sz w:val="20"/>
          <w:szCs w:val="20"/>
        </w:rPr>
      </w:pPr>
      <w:r w:rsidRPr="006C301A">
        <w:rPr>
          <w:spacing w:val="4"/>
          <w:sz w:val="20"/>
          <w:szCs w:val="20"/>
        </w:rPr>
        <w:t xml:space="preserve">It remains insufficiently recognized—among clinicians and in the wider public—that psychosocial events can generate not only psychological symptoms but also physical symptoms. In clinical settings, psychosocial burden is often framed primarily in terms of affective and cognitive problems such as depressed mood, anxiety, irritability, or difficulties concentrating, whereas physical symptoms are frequently handled as a separate category of “somatic </w:t>
      </w:r>
      <w:r w:rsidRPr="006C301A">
        <w:rPr>
          <w:spacing w:val="4"/>
          <w:sz w:val="20"/>
          <w:szCs w:val="20"/>
        </w:rPr>
        <w:t>problems.”</w:t>
      </w:r>
      <w:r w:rsidR="003C16A1">
        <w:rPr>
          <w:spacing w:val="4"/>
          <w:sz w:val="20"/>
          <w:szCs w:val="20"/>
        </w:rPr>
        <w:t xml:space="preserve"> </w:t>
      </w:r>
      <w:r w:rsidRPr="006C301A">
        <w:rPr>
          <w:spacing w:val="4"/>
          <w:sz w:val="20"/>
          <w:szCs w:val="20"/>
        </w:rPr>
        <w:t>Yet psychosocial events can lead to both psychological and physical symptoms via their effects on neural information processing and physiological regulation. In clinical practice, patients’ experiences are rarely neatly separated into “mind” and “body”; rather, the two are commonly intertwined in how symptoms are presented and lived. This perspective aligns with the biopsychosocial model (Engel, 1977) and with evidence that psychological stress contributes to disease risk, symptom expression, and prognosis (Cohen et al., 2007).</w:t>
      </w:r>
    </w:p>
    <w:p w14:paraId="581B0A8D" w14:textId="77777777" w:rsidR="006C301A" w:rsidRPr="006C301A" w:rsidRDefault="006C301A" w:rsidP="006C301A">
      <w:pPr>
        <w:widowControl w:val="0"/>
        <w:autoSpaceDE w:val="0"/>
        <w:autoSpaceDN w:val="0"/>
        <w:adjustRightInd w:val="0"/>
        <w:spacing w:line="240" w:lineRule="exact"/>
        <w:ind w:firstLine="274"/>
        <w:jc w:val="both"/>
        <w:rPr>
          <w:spacing w:val="4"/>
          <w:sz w:val="20"/>
          <w:szCs w:val="20"/>
        </w:rPr>
      </w:pPr>
    </w:p>
    <w:p w14:paraId="2070B019" w14:textId="77777777" w:rsidR="006C301A" w:rsidRPr="006C301A" w:rsidRDefault="006C301A" w:rsidP="006C301A">
      <w:pPr>
        <w:widowControl w:val="0"/>
        <w:autoSpaceDE w:val="0"/>
        <w:autoSpaceDN w:val="0"/>
        <w:adjustRightInd w:val="0"/>
        <w:spacing w:line="240" w:lineRule="exact"/>
        <w:ind w:firstLine="274"/>
        <w:jc w:val="both"/>
        <w:rPr>
          <w:spacing w:val="4"/>
          <w:sz w:val="20"/>
          <w:szCs w:val="20"/>
        </w:rPr>
      </w:pPr>
      <w:r w:rsidRPr="006C301A">
        <w:rPr>
          <w:spacing w:val="4"/>
          <w:sz w:val="20"/>
          <w:szCs w:val="20"/>
        </w:rPr>
        <w:lastRenderedPageBreak/>
        <w:t>For example, physical symptoms such as “shortness of breath,” “chest discomfort,” “palpitations,” or “stomach pain” may become the primary complaints, while psychological symptoms such as low mood, irritability, or repetitive intrusive thoughts coexist. Clinically, patients often use physical symptoms as the “entry point” for consultation because they are concrete and easier to describe; psychosocial burden and emotional distress may remain in the background and thus be overlooked. When clinicians evaluate physical symptoms only within an organ-disease framework, psychosocial factors that contribute to symptom generation and exacerbation may be missed, increasing the risk of symptom persistence and recurrence. Moreover, as organ-based specialty care advances, symptoms are more readily interpreted “by organ,” and patients may undergo multiple consultations across departments and repeated investigations, yet still fail to obtain a coherent explanation—often amplifying anxiety and uncertainty.</w:t>
      </w:r>
    </w:p>
    <w:p w14:paraId="1E205FA3" w14:textId="77777777" w:rsidR="006C301A" w:rsidRPr="006C301A" w:rsidRDefault="006C301A" w:rsidP="006C301A">
      <w:pPr>
        <w:widowControl w:val="0"/>
        <w:autoSpaceDE w:val="0"/>
        <w:autoSpaceDN w:val="0"/>
        <w:adjustRightInd w:val="0"/>
        <w:spacing w:line="240" w:lineRule="exact"/>
        <w:ind w:firstLine="274"/>
        <w:jc w:val="both"/>
        <w:rPr>
          <w:spacing w:val="4"/>
          <w:sz w:val="20"/>
          <w:szCs w:val="20"/>
        </w:rPr>
      </w:pPr>
    </w:p>
    <w:p w14:paraId="5B01BEAA" w14:textId="77777777" w:rsidR="006C301A" w:rsidRPr="006C301A" w:rsidRDefault="006C301A" w:rsidP="006C301A">
      <w:pPr>
        <w:widowControl w:val="0"/>
        <w:autoSpaceDE w:val="0"/>
        <w:autoSpaceDN w:val="0"/>
        <w:adjustRightInd w:val="0"/>
        <w:spacing w:line="240" w:lineRule="exact"/>
        <w:ind w:firstLine="274"/>
        <w:jc w:val="both"/>
        <w:rPr>
          <w:spacing w:val="4"/>
          <w:sz w:val="20"/>
          <w:szCs w:val="20"/>
        </w:rPr>
      </w:pPr>
      <w:r w:rsidRPr="006C301A">
        <w:rPr>
          <w:spacing w:val="4"/>
          <w:sz w:val="20"/>
          <w:szCs w:val="20"/>
        </w:rPr>
        <w:t>Diagnostic frameworks for mental disorders explicitly recognize that psychological and physical symptoms often co-occur. For example, the diagnostic criteria for major depressive disorder include somatic symptoms such as appetite and sleep disturbances, and panic disorder explicitly lists cardiopulmonary symptoms such as palpitations, sweating, and dyspnea (American Psychiatric Association, 2022). Accordingly, mental disorders do not necessarily present solely with psychological symptoms; prominent physical symptoms are common and clinically consequential (Kapfhammer, 2006; Simon et al., 1999). Moreover, a subset of patients report depression not as typical mood symptoms but primarily as physical complaints such as fatigue, headache, or musculoskeletal discomfort (Kapfhammer, 2006; Simon et al., 1999). Possible explanations include limited awareness of depression, limited vocabulary to articulate psychological distress, and contextual factors that make somatic expression more accessible in clinical encounters (Simon et al., 1999). Clinically, we should therefore remain attentive to the possibility that psychological distress may be concealed behind physical symptoms.</w:t>
      </w:r>
    </w:p>
    <w:p w14:paraId="6CFC606A" w14:textId="77777777" w:rsidR="006C301A" w:rsidRPr="006C301A" w:rsidRDefault="006C301A" w:rsidP="006C301A">
      <w:pPr>
        <w:widowControl w:val="0"/>
        <w:autoSpaceDE w:val="0"/>
        <w:autoSpaceDN w:val="0"/>
        <w:adjustRightInd w:val="0"/>
        <w:spacing w:line="240" w:lineRule="exact"/>
        <w:ind w:firstLine="274"/>
        <w:jc w:val="both"/>
        <w:rPr>
          <w:spacing w:val="4"/>
          <w:sz w:val="20"/>
          <w:szCs w:val="20"/>
        </w:rPr>
      </w:pPr>
    </w:p>
    <w:p w14:paraId="290BA87D" w14:textId="77777777" w:rsidR="006C301A" w:rsidRPr="006C301A" w:rsidRDefault="006C301A" w:rsidP="006C301A">
      <w:pPr>
        <w:widowControl w:val="0"/>
        <w:autoSpaceDE w:val="0"/>
        <w:autoSpaceDN w:val="0"/>
        <w:adjustRightInd w:val="0"/>
        <w:spacing w:line="240" w:lineRule="exact"/>
        <w:ind w:firstLine="274"/>
        <w:jc w:val="both"/>
        <w:rPr>
          <w:spacing w:val="4"/>
          <w:sz w:val="20"/>
          <w:szCs w:val="20"/>
        </w:rPr>
      </w:pPr>
      <w:r w:rsidRPr="006C301A">
        <w:rPr>
          <w:spacing w:val="4"/>
          <w:sz w:val="20"/>
          <w:szCs w:val="20"/>
        </w:rPr>
        <w:t xml:space="preserve">Importantly, the presence of physical symptoms does not automatically imply an underlying structural or organic disease. Psychosocial burden can produce physical symptoms via brain-mediated pathways, and many manifestations involve functional dysregulation that may not be captured by routine laboratory tests or imaging. While safety assessment and exclusion of red </w:t>
      </w:r>
      <w:r w:rsidRPr="006C301A">
        <w:rPr>
          <w:spacing w:val="4"/>
          <w:sz w:val="20"/>
          <w:szCs w:val="20"/>
        </w:rPr>
        <w:t>flags are indispensable, concluding the evaluation with “no abnormalities” can leave an explanatory vacuum, heightening anxiety and self-monitoring and potentially amplifying symptoms. Clinical frameworks for functional symptoms emphasize that “normal test results” should not conclude care; rather, clinicians need explanatory models that patients can understand and that guide intervention (Henningsen et al., 2007; Rief &amp; Broadbent, 2007; Stone et al., 2005).</w:t>
      </w:r>
    </w:p>
    <w:p w14:paraId="3F4B7F21" w14:textId="77777777" w:rsidR="006C301A" w:rsidRPr="006C301A" w:rsidRDefault="006C301A" w:rsidP="006C301A">
      <w:pPr>
        <w:widowControl w:val="0"/>
        <w:autoSpaceDE w:val="0"/>
        <w:autoSpaceDN w:val="0"/>
        <w:adjustRightInd w:val="0"/>
        <w:spacing w:line="240" w:lineRule="exact"/>
        <w:ind w:firstLine="274"/>
        <w:jc w:val="both"/>
        <w:rPr>
          <w:spacing w:val="4"/>
          <w:sz w:val="20"/>
          <w:szCs w:val="20"/>
        </w:rPr>
      </w:pPr>
    </w:p>
    <w:p w14:paraId="4E58E5E9" w14:textId="77777777" w:rsidR="006C301A" w:rsidRPr="006C301A" w:rsidRDefault="006C301A" w:rsidP="006C301A">
      <w:pPr>
        <w:widowControl w:val="0"/>
        <w:autoSpaceDE w:val="0"/>
        <w:autoSpaceDN w:val="0"/>
        <w:adjustRightInd w:val="0"/>
        <w:spacing w:line="240" w:lineRule="exact"/>
        <w:ind w:firstLine="274"/>
        <w:jc w:val="both"/>
        <w:rPr>
          <w:spacing w:val="4"/>
          <w:sz w:val="20"/>
          <w:szCs w:val="20"/>
        </w:rPr>
      </w:pPr>
      <w:r w:rsidRPr="006C301A">
        <w:rPr>
          <w:spacing w:val="4"/>
          <w:sz w:val="20"/>
          <w:szCs w:val="20"/>
        </w:rPr>
        <w:t>Sharing, from the early stages of clinical care, the perspective that psychosocial events can give rise to not only psychological symptoms but also physical symptoms is crucial as a starting point for understanding the condition and guiding intervention. Against this background, we propose Brain Overwork Syndrome as a unifying clinical model that avoids splitting Psychosocial Stressor–related psychological and physical symptoms. Brain Overwork Syndrome conceptualizes that Psychosocial Stressor–driven brain overwork (excessive, sustained recruitment) can manifest not only as affective and cognitive symptoms but also as multisystem physical symptoms via dysregulation of autonomic and other physiological regulatory systems. We aim to provide a coherent, clinically usable account explaining why (a) the same bodily symptom may warrant different initial strategies depending on the underlying driver and (b) symptoms can persist even when routine tests are normal.</w:t>
      </w:r>
    </w:p>
    <w:p w14:paraId="2F14764B" w14:textId="77777777" w:rsidR="006C301A" w:rsidRDefault="006C301A" w:rsidP="006C301A">
      <w:pPr>
        <w:widowControl w:val="0"/>
        <w:autoSpaceDE w:val="0"/>
        <w:autoSpaceDN w:val="0"/>
        <w:adjustRightInd w:val="0"/>
        <w:spacing w:line="240" w:lineRule="exact"/>
        <w:ind w:firstLine="274"/>
        <w:jc w:val="both"/>
        <w:rPr>
          <w:b/>
          <w:bCs/>
          <w:spacing w:val="4"/>
          <w:sz w:val="20"/>
          <w:szCs w:val="20"/>
        </w:rPr>
      </w:pPr>
    </w:p>
    <w:p w14:paraId="18C23D9D" w14:textId="5D054AD3" w:rsidR="006C301A" w:rsidRPr="006C301A" w:rsidRDefault="006C301A" w:rsidP="006C301A">
      <w:pPr>
        <w:widowControl w:val="0"/>
        <w:autoSpaceDE w:val="0"/>
        <w:autoSpaceDN w:val="0"/>
        <w:adjustRightInd w:val="0"/>
        <w:spacing w:line="240" w:lineRule="exact"/>
        <w:ind w:firstLine="274"/>
        <w:jc w:val="both"/>
        <w:rPr>
          <w:spacing w:val="4"/>
          <w:sz w:val="20"/>
          <w:szCs w:val="20"/>
        </w:rPr>
      </w:pPr>
      <w:r w:rsidRPr="006C301A">
        <w:rPr>
          <w:b/>
          <w:bCs/>
          <w:spacing w:val="4"/>
          <w:sz w:val="20"/>
          <w:szCs w:val="20"/>
        </w:rPr>
        <w:t>2. Reframing the Stress Concept: Input and Output (Psychosocial Input as the Primary Focus)</w:t>
      </w:r>
      <w:r w:rsidRPr="006C301A">
        <w:rPr>
          <w:spacing w:val="4"/>
          <w:sz w:val="20"/>
          <w:szCs w:val="20"/>
        </w:rPr>
        <w:br/>
        <w:t xml:space="preserve">In this review, we define the stress response as a regulatory process by which an organism attempts to maintain homeostasis in response to demands from the external environment or internal states. The key point is that the stress response is not merely a reaction to “unpleasant events,” but rather a core regulatory system supporting adaptation and survival. Stress responses are fundamentally adaptive, enabling the organism to cope with threats and protect survival; however, when the response becomes excessive or prolonged, it can manifest as symptoms and impair health and daily functioning. Clinically, it is crucial to determine whether stress responses are excessive and to identify when and by what factors they have become prolonged (Selye, 1956; Lazarus &amp; Folkman, 1984; </w:t>
      </w:r>
      <w:proofErr w:type="spellStart"/>
      <w:r w:rsidRPr="006C301A">
        <w:rPr>
          <w:spacing w:val="4"/>
          <w:sz w:val="20"/>
          <w:szCs w:val="20"/>
        </w:rPr>
        <w:t>Chrousos</w:t>
      </w:r>
      <w:proofErr w:type="spellEnd"/>
      <w:r w:rsidRPr="006C301A">
        <w:rPr>
          <w:spacing w:val="4"/>
          <w:sz w:val="20"/>
          <w:szCs w:val="20"/>
        </w:rPr>
        <w:t xml:space="preserve"> &amp; Gold, 1992; McEwen, 1993; McEwen, 1998; Sapolsky, 2000).</w:t>
      </w:r>
    </w:p>
    <w:p w14:paraId="6EC278DD" w14:textId="77777777" w:rsidR="006C301A" w:rsidRPr="006C301A" w:rsidRDefault="006C301A" w:rsidP="006C301A">
      <w:pPr>
        <w:widowControl w:val="0"/>
        <w:autoSpaceDE w:val="0"/>
        <w:autoSpaceDN w:val="0"/>
        <w:adjustRightInd w:val="0"/>
        <w:spacing w:line="240" w:lineRule="exact"/>
        <w:ind w:firstLine="274"/>
        <w:jc w:val="both"/>
        <w:rPr>
          <w:spacing w:val="4"/>
          <w:sz w:val="20"/>
          <w:szCs w:val="20"/>
        </w:rPr>
      </w:pPr>
    </w:p>
    <w:p w14:paraId="35A3A568" w14:textId="77777777" w:rsidR="006C301A" w:rsidRPr="006C301A" w:rsidRDefault="006C301A" w:rsidP="006C301A">
      <w:pPr>
        <w:widowControl w:val="0"/>
        <w:autoSpaceDE w:val="0"/>
        <w:autoSpaceDN w:val="0"/>
        <w:adjustRightInd w:val="0"/>
        <w:spacing w:line="240" w:lineRule="exact"/>
        <w:ind w:firstLine="274"/>
        <w:jc w:val="both"/>
        <w:rPr>
          <w:spacing w:val="4"/>
          <w:sz w:val="20"/>
          <w:szCs w:val="20"/>
        </w:rPr>
      </w:pPr>
      <w:r w:rsidRPr="006C301A">
        <w:rPr>
          <w:b/>
          <w:bCs/>
          <w:spacing w:val="4"/>
          <w:sz w:val="20"/>
          <w:szCs w:val="20"/>
        </w:rPr>
        <w:t>2.1. Input: Factors that Elicit Stress Responses and the “Primary Input” Addressed in Brain Overwork Syndrome</w:t>
      </w:r>
    </w:p>
    <w:p w14:paraId="620D48A4" w14:textId="77777777" w:rsidR="006C301A" w:rsidRPr="006C301A" w:rsidRDefault="006C301A" w:rsidP="006C301A">
      <w:pPr>
        <w:widowControl w:val="0"/>
        <w:autoSpaceDE w:val="0"/>
        <w:autoSpaceDN w:val="0"/>
        <w:adjustRightInd w:val="0"/>
        <w:spacing w:line="240" w:lineRule="exact"/>
        <w:ind w:firstLine="274"/>
        <w:jc w:val="both"/>
        <w:rPr>
          <w:spacing w:val="4"/>
          <w:sz w:val="20"/>
          <w:szCs w:val="20"/>
        </w:rPr>
      </w:pPr>
      <w:r w:rsidRPr="006C301A">
        <w:rPr>
          <w:spacing w:val="4"/>
          <w:sz w:val="20"/>
          <w:szCs w:val="20"/>
        </w:rPr>
        <w:lastRenderedPageBreak/>
        <w:br/>
        <w:t>From a clinical perspective, stress-eliciting factors can be broadly classified into two categories:</w:t>
      </w:r>
    </w:p>
    <w:p w14:paraId="32A8AED2" w14:textId="294EEA54" w:rsidR="006C301A" w:rsidRPr="006C301A" w:rsidRDefault="006C301A" w:rsidP="006C301A">
      <w:pPr>
        <w:widowControl w:val="0"/>
        <w:numPr>
          <w:ilvl w:val="0"/>
          <w:numId w:val="5"/>
        </w:numPr>
        <w:autoSpaceDE w:val="0"/>
        <w:autoSpaceDN w:val="0"/>
        <w:adjustRightInd w:val="0"/>
        <w:spacing w:line="240" w:lineRule="exact"/>
        <w:jc w:val="both"/>
        <w:rPr>
          <w:spacing w:val="4"/>
          <w:sz w:val="20"/>
          <w:szCs w:val="20"/>
        </w:rPr>
      </w:pPr>
      <w:r w:rsidRPr="006C301A">
        <w:rPr>
          <w:b/>
          <w:bCs/>
          <w:spacing w:val="4"/>
          <w:sz w:val="20"/>
          <w:szCs w:val="20"/>
        </w:rPr>
        <w:t>Physical factors:</w:t>
      </w:r>
      <w:r w:rsidRPr="006C301A">
        <w:rPr>
          <w:spacing w:val="4"/>
          <w:sz w:val="20"/>
          <w:szCs w:val="20"/>
        </w:rPr>
        <w:t xml:space="preserve"> temperature- and mechanical stressors (cold, heat, injury), chemical stressors (irritants, medications), and biological stressors (pathogens, inflammation, hypoxia, pain, etc.).</w:t>
      </w:r>
    </w:p>
    <w:p w14:paraId="0C476FB4" w14:textId="2EBE1CC6" w:rsidR="006C301A" w:rsidRPr="006C301A" w:rsidRDefault="006C301A" w:rsidP="006C301A">
      <w:pPr>
        <w:widowControl w:val="0"/>
        <w:numPr>
          <w:ilvl w:val="0"/>
          <w:numId w:val="5"/>
        </w:numPr>
        <w:autoSpaceDE w:val="0"/>
        <w:autoSpaceDN w:val="0"/>
        <w:adjustRightInd w:val="0"/>
        <w:spacing w:line="240" w:lineRule="exact"/>
        <w:jc w:val="both"/>
        <w:rPr>
          <w:spacing w:val="4"/>
          <w:sz w:val="20"/>
          <w:szCs w:val="20"/>
        </w:rPr>
      </w:pPr>
      <w:r w:rsidRPr="006C301A">
        <w:rPr>
          <w:b/>
          <w:bCs/>
          <w:spacing w:val="4"/>
          <w:sz w:val="20"/>
          <w:szCs w:val="20"/>
        </w:rPr>
        <w:t>Psychosocial factors:</w:t>
      </w:r>
      <w:r w:rsidRPr="006C301A">
        <w:rPr>
          <w:spacing w:val="4"/>
          <w:sz w:val="20"/>
          <w:szCs w:val="20"/>
        </w:rPr>
        <w:t xml:space="preserve"> interpersonal conflict, bereavement and loss, excessive workload, information overload, uncertainty about the future, role conflict, social isolation, and fear of negative evaluation.</w:t>
      </w:r>
    </w:p>
    <w:p w14:paraId="2B9515D2" w14:textId="12A73C1B" w:rsidR="006C301A" w:rsidRPr="006C301A" w:rsidRDefault="003C16A1" w:rsidP="006C301A">
      <w:pPr>
        <w:widowControl w:val="0"/>
        <w:autoSpaceDE w:val="0"/>
        <w:autoSpaceDN w:val="0"/>
        <w:adjustRightInd w:val="0"/>
        <w:spacing w:line="240" w:lineRule="exact"/>
        <w:ind w:firstLine="274"/>
        <w:jc w:val="both"/>
        <w:rPr>
          <w:spacing w:val="4"/>
          <w:sz w:val="20"/>
          <w:szCs w:val="20"/>
        </w:rPr>
      </w:pPr>
      <w:r>
        <w:rPr>
          <w:noProof/>
          <w:spacing w:val="4"/>
          <w:sz w:val="20"/>
          <w:szCs w:val="20"/>
        </w:rPr>
        <w:drawing>
          <wp:anchor distT="0" distB="0" distL="114300" distR="114300" simplePos="0" relativeHeight="251658240" behindDoc="0" locked="0" layoutInCell="1" allowOverlap="1" wp14:anchorId="4DA98134" wp14:editId="186A0126">
            <wp:simplePos x="0" y="0"/>
            <wp:positionH relativeFrom="column">
              <wp:align>left</wp:align>
            </wp:positionH>
            <wp:positionV relativeFrom="paragraph">
              <wp:posOffset>1878965</wp:posOffset>
            </wp:positionV>
            <wp:extent cx="2916555" cy="2858135"/>
            <wp:effectExtent l="0" t="0" r="0" b="0"/>
            <wp:wrapTopAndBottom/>
            <wp:docPr id="407034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34915" name="Picture 407034915"/>
                    <pic:cNvPicPr/>
                  </pic:nvPicPr>
                  <pic:blipFill>
                    <a:blip r:embed="rId12"/>
                    <a:stretch>
                      <a:fillRect/>
                    </a:stretch>
                  </pic:blipFill>
                  <pic:spPr>
                    <a:xfrm>
                      <a:off x="0" y="0"/>
                      <a:ext cx="2916555" cy="2858135"/>
                    </a:xfrm>
                    <a:prstGeom prst="rect">
                      <a:avLst/>
                    </a:prstGeom>
                  </pic:spPr>
                </pic:pic>
              </a:graphicData>
            </a:graphic>
          </wp:anchor>
        </w:drawing>
      </w:r>
      <w:r w:rsidR="006C301A" w:rsidRPr="006C301A">
        <w:rPr>
          <w:spacing w:val="4"/>
          <w:sz w:val="20"/>
          <w:szCs w:val="20"/>
        </w:rPr>
        <w:t>These two categories differ in their primary input pathways. For physical factors, peripheral nociceptive stimuli and interoceptive sensations are conveyed to the brain via afferent pathways, and in inflammatory conditions, information is also transmitted through humoral signals such as cytokines. In contrast, psychosocial factors are processed in the brain as “threat,” “load,” or “unpredictability” through contextual meaning-making (cognitive appraisal) and emotional processing (neural circuitry is discussed in Review 2) (Dantzer et al., 2008; Miller et al., 2009; Slavich &amp; Irwin, 2014; Craig, 2009).</w:t>
      </w:r>
    </w:p>
    <w:p w14:paraId="3048DA14" w14:textId="01BEE015" w:rsidR="003C16A1" w:rsidRDefault="003C16A1" w:rsidP="003C16A1">
      <w:pPr>
        <w:widowControl w:val="0"/>
        <w:autoSpaceDE w:val="0"/>
        <w:autoSpaceDN w:val="0"/>
        <w:adjustRightInd w:val="0"/>
        <w:spacing w:line="240" w:lineRule="exact"/>
        <w:jc w:val="both"/>
        <w:rPr>
          <w:spacing w:val="4"/>
          <w:sz w:val="20"/>
          <w:szCs w:val="20"/>
        </w:rPr>
      </w:pPr>
    </w:p>
    <w:p w14:paraId="59E94D06" w14:textId="77777777" w:rsidR="003C16A1" w:rsidRPr="003C16A1" w:rsidRDefault="003C16A1" w:rsidP="003C16A1">
      <w:pPr>
        <w:widowControl w:val="0"/>
        <w:autoSpaceDE w:val="0"/>
        <w:autoSpaceDN w:val="0"/>
        <w:adjustRightInd w:val="0"/>
        <w:spacing w:line="240" w:lineRule="exact"/>
        <w:jc w:val="both"/>
        <w:rPr>
          <w:b/>
          <w:bCs/>
          <w:spacing w:val="4"/>
          <w:sz w:val="20"/>
          <w:szCs w:val="20"/>
        </w:rPr>
      </w:pPr>
      <w:r w:rsidRPr="003C16A1">
        <w:rPr>
          <w:b/>
          <w:bCs/>
          <w:spacing w:val="4"/>
          <w:sz w:val="20"/>
          <w:szCs w:val="20"/>
        </w:rPr>
        <w:t>Figure 1. Clinical framework of input (stressors) and output (signs and symptoms).</w:t>
      </w:r>
      <w:r w:rsidRPr="003C16A1">
        <w:rPr>
          <w:b/>
          <w:bCs/>
          <w:spacing w:val="4"/>
          <w:sz w:val="20"/>
          <w:szCs w:val="20"/>
        </w:rPr>
        <w:br/>
      </w:r>
      <w:r w:rsidRPr="003C16A1">
        <w:rPr>
          <w:spacing w:val="4"/>
          <w:sz w:val="20"/>
          <w:szCs w:val="20"/>
        </w:rPr>
        <w:t xml:space="preserve">This figure schematically illustrates general clinical practice from the perspective of input and output. On the left, physical stressors are presented as inputs. On the right, psychosocial stressors, which place excessive load on the brain’s regulatory systems, are likewise presented as inputs. The resulting outputs include </w:t>
      </w:r>
      <w:r w:rsidRPr="003C16A1">
        <w:rPr>
          <w:spacing w:val="4"/>
          <w:sz w:val="20"/>
          <w:szCs w:val="20"/>
        </w:rPr>
        <w:t>physical symptoms, psychiatric symptoms, and behavioral changes arising from dysregulation. In clinical practice, patients often present not with the underlying stressors themselves, but with physical symptoms as the entry point for consultation. Therefore, management should address not only the symptoms themselves but also the underlying stressor(s) (inputs) responsible for symptom onset and persistence.</w:t>
      </w:r>
    </w:p>
    <w:p w14:paraId="1F0900B2" w14:textId="6DFA2AEF" w:rsidR="003C16A1" w:rsidRDefault="003C16A1" w:rsidP="003C16A1">
      <w:pPr>
        <w:widowControl w:val="0"/>
        <w:autoSpaceDE w:val="0"/>
        <w:autoSpaceDN w:val="0"/>
        <w:adjustRightInd w:val="0"/>
        <w:spacing w:line="240" w:lineRule="exact"/>
        <w:jc w:val="both"/>
        <w:rPr>
          <w:spacing w:val="4"/>
          <w:sz w:val="20"/>
          <w:szCs w:val="20"/>
        </w:rPr>
      </w:pPr>
    </w:p>
    <w:p w14:paraId="637663D7"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 xml:space="preserve">Here we clarify our position. The “primary input” addressed by Brain Overwork Syndrome is psychosocial. Specifically, Brain Overwork Syndrome focuses on a clinical state in which repeated or sustained psychosocial burden leads to chronic brain </w:t>
      </w:r>
      <w:proofErr w:type="spellStart"/>
      <w:r w:rsidRPr="003C16A1">
        <w:rPr>
          <w:spacing w:val="4"/>
          <w:sz w:val="20"/>
          <w:szCs w:val="20"/>
        </w:rPr>
        <w:t>overrecruitment</w:t>
      </w:r>
      <w:proofErr w:type="spellEnd"/>
      <w:r w:rsidRPr="003C16A1">
        <w:rPr>
          <w:spacing w:val="4"/>
          <w:sz w:val="20"/>
          <w:szCs w:val="20"/>
        </w:rPr>
        <w:t xml:space="preserve"> (hyperarousal, difficulty switching/disengaging, and excessive prediction), resulting in the functional expression of physical symptoms alongside psychological symptoms.</w:t>
      </w:r>
    </w:p>
    <w:p w14:paraId="4FE12677"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At the same time, physical factors may coexist in clinical practice. Therefore, Brain Overwork Syndrome is not a concept that denies physical disease or physical burdens. Rather, it is positioned as an integrative model that, after appropriate safety assessment and minimal necessary medical evaluation, explains Psychosocial Stressor–initiated mechanisms of chronicity and connects them to intervention (Friston, 2010; Clark, 2013).</w:t>
      </w:r>
    </w:p>
    <w:p w14:paraId="0B8D8AA3" w14:textId="77777777" w:rsidR="003C16A1" w:rsidRPr="003C16A1" w:rsidRDefault="003C16A1" w:rsidP="003C16A1">
      <w:pPr>
        <w:widowControl w:val="0"/>
        <w:autoSpaceDE w:val="0"/>
        <w:autoSpaceDN w:val="0"/>
        <w:adjustRightInd w:val="0"/>
        <w:spacing w:line="240" w:lineRule="exact"/>
        <w:jc w:val="both"/>
        <w:rPr>
          <w:spacing w:val="4"/>
          <w:sz w:val="20"/>
          <w:szCs w:val="20"/>
        </w:rPr>
      </w:pPr>
    </w:p>
    <w:p w14:paraId="500C35CD"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b/>
          <w:bCs/>
          <w:spacing w:val="4"/>
          <w:sz w:val="20"/>
          <w:szCs w:val="20"/>
        </w:rPr>
        <w:t>2.2. Output: Psychosocial Input Produces a “Dual Output” of Psychological and Physical Symptoms</w:t>
      </w:r>
      <w:r w:rsidRPr="003C16A1">
        <w:rPr>
          <w:spacing w:val="4"/>
          <w:sz w:val="20"/>
          <w:szCs w:val="20"/>
        </w:rPr>
        <w:br/>
        <w:t>A crucial point is that psychosocial input can be expressed not only as psychological symptoms but also as physical symptoms. When psychosocial burden persists, multiple stress-related systems can be activated simultaneously as an integrated central response, including the autonomic–adrenomedullary system, the hypothalamic–pituitary–adrenal (HPA) axis, immune–inflammatory systems, sleep–wake regulation, and attention/prediction systems. As a result (</w:t>
      </w:r>
      <w:proofErr w:type="spellStart"/>
      <w:r w:rsidRPr="003C16A1">
        <w:rPr>
          <w:spacing w:val="4"/>
          <w:sz w:val="20"/>
          <w:szCs w:val="20"/>
        </w:rPr>
        <w:t>Chrousos</w:t>
      </w:r>
      <w:proofErr w:type="spellEnd"/>
      <w:r w:rsidRPr="003C16A1">
        <w:rPr>
          <w:spacing w:val="4"/>
          <w:sz w:val="20"/>
          <w:szCs w:val="20"/>
        </w:rPr>
        <w:t xml:space="preserve"> &amp; Gold, 1992; Thayer &amp; Lane, 2000; Porges, 2007), the following may emerge in parallel:</w:t>
      </w:r>
    </w:p>
    <w:p w14:paraId="7F78E837" w14:textId="77777777" w:rsidR="003C16A1" w:rsidRPr="003C16A1" w:rsidRDefault="003C16A1" w:rsidP="003C16A1">
      <w:pPr>
        <w:widowControl w:val="0"/>
        <w:numPr>
          <w:ilvl w:val="0"/>
          <w:numId w:val="6"/>
        </w:numPr>
        <w:autoSpaceDE w:val="0"/>
        <w:autoSpaceDN w:val="0"/>
        <w:adjustRightInd w:val="0"/>
        <w:spacing w:line="240" w:lineRule="exact"/>
        <w:jc w:val="both"/>
        <w:rPr>
          <w:spacing w:val="4"/>
          <w:sz w:val="20"/>
          <w:szCs w:val="20"/>
        </w:rPr>
      </w:pPr>
      <w:r w:rsidRPr="003C16A1">
        <w:rPr>
          <w:b/>
          <w:bCs/>
          <w:spacing w:val="4"/>
          <w:sz w:val="20"/>
          <w:szCs w:val="20"/>
        </w:rPr>
        <w:t>Psychological symptoms:</w:t>
      </w:r>
      <w:r w:rsidRPr="003C16A1">
        <w:rPr>
          <w:spacing w:val="4"/>
          <w:sz w:val="20"/>
          <w:szCs w:val="20"/>
        </w:rPr>
        <w:t xml:space="preserve"> anxiety, depression, agitation, hypersensitivity, irritability, difficulty concentrating</w:t>
      </w:r>
    </w:p>
    <w:p w14:paraId="5C7171A7" w14:textId="77777777" w:rsidR="003C16A1" w:rsidRPr="003C16A1" w:rsidRDefault="003C16A1" w:rsidP="003C16A1">
      <w:pPr>
        <w:widowControl w:val="0"/>
        <w:numPr>
          <w:ilvl w:val="0"/>
          <w:numId w:val="6"/>
        </w:numPr>
        <w:autoSpaceDE w:val="0"/>
        <w:autoSpaceDN w:val="0"/>
        <w:adjustRightInd w:val="0"/>
        <w:spacing w:line="240" w:lineRule="exact"/>
        <w:jc w:val="both"/>
        <w:rPr>
          <w:spacing w:val="4"/>
          <w:sz w:val="20"/>
          <w:szCs w:val="20"/>
        </w:rPr>
      </w:pPr>
      <w:r w:rsidRPr="003C16A1">
        <w:rPr>
          <w:b/>
          <w:bCs/>
          <w:spacing w:val="4"/>
          <w:sz w:val="20"/>
          <w:szCs w:val="20"/>
        </w:rPr>
        <w:t>Physical symptoms:</w:t>
      </w:r>
      <w:r w:rsidRPr="003C16A1">
        <w:rPr>
          <w:spacing w:val="4"/>
          <w:sz w:val="20"/>
          <w:szCs w:val="20"/>
        </w:rPr>
        <w:t xml:space="preserve"> palpitations, dyspnea sensations, cough, chest discomfort, gastrointestinal symptoms, dizziness, pain, muscle tension, fatigue</w:t>
      </w:r>
    </w:p>
    <w:p w14:paraId="0721EE43" w14:textId="77777777" w:rsidR="003C16A1" w:rsidRPr="003C16A1" w:rsidRDefault="003C16A1" w:rsidP="003C16A1">
      <w:pPr>
        <w:widowControl w:val="0"/>
        <w:numPr>
          <w:ilvl w:val="0"/>
          <w:numId w:val="6"/>
        </w:numPr>
        <w:autoSpaceDE w:val="0"/>
        <w:autoSpaceDN w:val="0"/>
        <w:adjustRightInd w:val="0"/>
        <w:spacing w:line="240" w:lineRule="exact"/>
        <w:jc w:val="both"/>
        <w:rPr>
          <w:spacing w:val="4"/>
          <w:sz w:val="20"/>
          <w:szCs w:val="20"/>
        </w:rPr>
      </w:pPr>
      <w:r w:rsidRPr="003C16A1">
        <w:rPr>
          <w:b/>
          <w:bCs/>
          <w:spacing w:val="4"/>
          <w:sz w:val="20"/>
          <w:szCs w:val="20"/>
        </w:rPr>
        <w:t>Behavioral changes:</w:t>
      </w:r>
      <w:r w:rsidRPr="003C16A1">
        <w:rPr>
          <w:spacing w:val="4"/>
          <w:sz w:val="20"/>
          <w:szCs w:val="20"/>
        </w:rPr>
        <w:t xml:space="preserve"> avoidance, repeated healthcare seeking, disruption of daily rhythms, overactivity/underactivity</w:t>
      </w:r>
    </w:p>
    <w:p w14:paraId="3BBE249B"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 xml:space="preserve">What should be emphasized here is that, in Brain </w:t>
      </w:r>
      <w:r w:rsidRPr="003C16A1">
        <w:rPr>
          <w:spacing w:val="4"/>
          <w:sz w:val="20"/>
          <w:szCs w:val="20"/>
        </w:rPr>
        <w:lastRenderedPageBreak/>
        <w:t xml:space="preserve">Overwork Syndrome, many physical symptoms are expressed not as structural breakdown but as </w:t>
      </w:r>
      <w:r w:rsidRPr="003C16A1">
        <w:rPr>
          <w:b/>
          <w:bCs/>
          <w:spacing w:val="4"/>
          <w:sz w:val="20"/>
          <w:szCs w:val="20"/>
        </w:rPr>
        <w:t>functional dysregulation</w:t>
      </w:r>
      <w:r w:rsidRPr="003C16A1">
        <w:rPr>
          <w:spacing w:val="4"/>
          <w:sz w:val="20"/>
          <w:szCs w:val="20"/>
        </w:rPr>
        <w:t xml:space="preserve"> mediated by brain–body regulatory systems. Accordingly, routine tests (blood tests, imaging, etc.) may fail to reveal clear abnormalities, creating the clinical impasse of “symptoms despite normal tests.” Brain Overwork Syndrome aims to reframe this impasse from “nothing is wrong” to an explanatory framework in which “functional regulation continues to be excessively recruited” (Stone et al., 2005; Henningsen et al., 2007; Fink &amp; Schröder, 2010).</w:t>
      </w:r>
    </w:p>
    <w:p w14:paraId="088F24DB" w14:textId="77777777" w:rsidR="003C16A1" w:rsidRPr="003C16A1" w:rsidRDefault="003C16A1" w:rsidP="003C16A1">
      <w:pPr>
        <w:widowControl w:val="0"/>
        <w:autoSpaceDE w:val="0"/>
        <w:autoSpaceDN w:val="0"/>
        <w:adjustRightInd w:val="0"/>
        <w:spacing w:line="240" w:lineRule="exact"/>
        <w:jc w:val="both"/>
        <w:rPr>
          <w:spacing w:val="4"/>
          <w:sz w:val="20"/>
          <w:szCs w:val="20"/>
        </w:rPr>
      </w:pPr>
    </w:p>
    <w:p w14:paraId="7685912A"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b/>
          <w:bCs/>
          <w:spacing w:val="4"/>
          <w:sz w:val="20"/>
          <w:szCs w:val="20"/>
        </w:rPr>
        <w:t>2.3. Outputs Can Become Re-Inputs: Self-Amplifying Loops</w:t>
      </w:r>
      <w:r w:rsidRPr="003C16A1">
        <w:rPr>
          <w:spacing w:val="4"/>
          <w:sz w:val="20"/>
          <w:szCs w:val="20"/>
        </w:rPr>
        <w:br/>
        <w:t xml:space="preserve">Another clinically important point is that once an output occurs, it can itself become a new input and form a self-amplifying loop (e.g., palpitations → catastrophic interpretation “Is my heart failing?” → sympathetic activation → worsening palpitations). Similarly, cough or breathlessness can increase symptom monitoring, sleep disturbance can amplify next-day hypersensitivity and rumination, and gastrointestinal symptoms can further reduce functioning through dietary restriction and </w:t>
      </w:r>
      <w:r w:rsidRPr="003C16A1">
        <w:rPr>
          <w:b/>
          <w:bCs/>
          <w:spacing w:val="4"/>
          <w:sz w:val="20"/>
          <w:szCs w:val="20"/>
        </w:rPr>
        <w:t>activity avoidance</w:t>
      </w:r>
      <w:r w:rsidRPr="003C16A1">
        <w:rPr>
          <w:spacing w:val="4"/>
          <w:sz w:val="20"/>
          <w:szCs w:val="20"/>
        </w:rPr>
        <w:t>. Reframing these patterns not as a mere list of symptoms but as a system is key to understanding chronicity and designing interventions (</w:t>
      </w:r>
      <w:proofErr w:type="spellStart"/>
      <w:r w:rsidRPr="003C16A1">
        <w:rPr>
          <w:spacing w:val="4"/>
          <w:sz w:val="20"/>
          <w:szCs w:val="20"/>
        </w:rPr>
        <w:t>Brosschot</w:t>
      </w:r>
      <w:proofErr w:type="spellEnd"/>
      <w:r w:rsidRPr="003C16A1">
        <w:rPr>
          <w:spacing w:val="4"/>
          <w:sz w:val="20"/>
          <w:szCs w:val="20"/>
        </w:rPr>
        <w:t xml:space="preserve"> et al., 2006; Rief &amp; Broadbent, 2007).</w:t>
      </w:r>
    </w:p>
    <w:p w14:paraId="7D1EED84" w14:textId="77777777" w:rsidR="003C16A1" w:rsidRPr="003C16A1" w:rsidRDefault="003C16A1" w:rsidP="003C16A1">
      <w:pPr>
        <w:widowControl w:val="0"/>
        <w:autoSpaceDE w:val="0"/>
        <w:autoSpaceDN w:val="0"/>
        <w:adjustRightInd w:val="0"/>
        <w:spacing w:line="240" w:lineRule="exact"/>
        <w:jc w:val="both"/>
        <w:rPr>
          <w:spacing w:val="4"/>
          <w:sz w:val="20"/>
          <w:szCs w:val="20"/>
        </w:rPr>
      </w:pPr>
    </w:p>
    <w:p w14:paraId="268AEB7F" w14:textId="2368FBD3" w:rsidR="003C16A1" w:rsidRPr="003C16A1" w:rsidRDefault="003C16A1" w:rsidP="003C16A1">
      <w:pPr>
        <w:widowControl w:val="0"/>
        <w:autoSpaceDE w:val="0"/>
        <w:autoSpaceDN w:val="0"/>
        <w:adjustRightInd w:val="0"/>
        <w:spacing w:line="240" w:lineRule="exact"/>
        <w:jc w:val="both"/>
        <w:rPr>
          <w:spacing w:val="4"/>
          <w:sz w:val="20"/>
          <w:szCs w:val="20"/>
        </w:rPr>
      </w:pPr>
      <w:r>
        <w:rPr>
          <w:noProof/>
          <w:spacing w:val="4"/>
          <w:sz w:val="20"/>
          <w:szCs w:val="20"/>
        </w:rPr>
        <w:drawing>
          <wp:anchor distT="0" distB="0" distL="114300" distR="114300" simplePos="0" relativeHeight="251659264" behindDoc="0" locked="0" layoutInCell="1" allowOverlap="1" wp14:anchorId="53A7F2A3" wp14:editId="722B040D">
            <wp:simplePos x="0" y="0"/>
            <wp:positionH relativeFrom="margin">
              <wp:posOffset>3190875</wp:posOffset>
            </wp:positionH>
            <wp:positionV relativeFrom="paragraph">
              <wp:posOffset>388620</wp:posOffset>
            </wp:positionV>
            <wp:extent cx="2916555" cy="3152775"/>
            <wp:effectExtent l="0" t="0" r="0" b="9525"/>
            <wp:wrapTopAndBottom/>
            <wp:docPr id="6303368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336886" name="Picture 630336886"/>
                    <pic:cNvPicPr/>
                  </pic:nvPicPr>
                  <pic:blipFill>
                    <a:blip r:embed="rId13"/>
                    <a:stretch>
                      <a:fillRect/>
                    </a:stretch>
                  </pic:blipFill>
                  <pic:spPr>
                    <a:xfrm>
                      <a:off x="0" y="0"/>
                      <a:ext cx="2916555" cy="3152775"/>
                    </a:xfrm>
                    <a:prstGeom prst="rect">
                      <a:avLst/>
                    </a:prstGeom>
                  </pic:spPr>
                </pic:pic>
              </a:graphicData>
            </a:graphic>
          </wp:anchor>
        </w:drawing>
      </w:r>
      <w:r w:rsidRPr="003C16A1">
        <w:rPr>
          <w:b/>
          <w:bCs/>
          <w:spacing w:val="4"/>
          <w:sz w:val="20"/>
          <w:szCs w:val="20"/>
        </w:rPr>
        <w:t>2.4. Three Practical Questions to Implement the Psychosocial-First Model in Clinical Practice</w:t>
      </w:r>
      <w:r w:rsidRPr="003C16A1">
        <w:rPr>
          <w:spacing w:val="4"/>
          <w:sz w:val="20"/>
          <w:szCs w:val="20"/>
        </w:rPr>
        <w:br/>
        <w:t>The core of implementing the Input–Output framework in clinical care consists of three elements:</w:t>
      </w:r>
    </w:p>
    <w:p w14:paraId="3A793B6F" w14:textId="77777777" w:rsidR="003C16A1" w:rsidRPr="003C16A1" w:rsidRDefault="003C16A1" w:rsidP="003C16A1">
      <w:pPr>
        <w:widowControl w:val="0"/>
        <w:numPr>
          <w:ilvl w:val="0"/>
          <w:numId w:val="7"/>
        </w:numPr>
        <w:tabs>
          <w:tab w:val="clear" w:pos="360"/>
          <w:tab w:val="num" w:pos="720"/>
        </w:tabs>
        <w:autoSpaceDE w:val="0"/>
        <w:autoSpaceDN w:val="0"/>
        <w:adjustRightInd w:val="0"/>
        <w:spacing w:line="240" w:lineRule="exact"/>
        <w:jc w:val="both"/>
        <w:rPr>
          <w:spacing w:val="4"/>
          <w:sz w:val="20"/>
          <w:szCs w:val="20"/>
        </w:rPr>
      </w:pPr>
      <w:r w:rsidRPr="003C16A1">
        <w:rPr>
          <w:b/>
          <w:bCs/>
          <w:spacing w:val="4"/>
          <w:sz w:val="20"/>
          <w:szCs w:val="20"/>
        </w:rPr>
        <w:t>Identify psychosocial input (burden):</w:t>
      </w:r>
      <w:r w:rsidRPr="003C16A1">
        <w:rPr>
          <w:spacing w:val="4"/>
          <w:sz w:val="20"/>
          <w:szCs w:val="20"/>
        </w:rPr>
        <w:t xml:space="preserve"> What is driving excessive brain recruitment (interpersonal stress, role demands, information overload, anxiety, loss, etc.)?</w:t>
      </w:r>
    </w:p>
    <w:p w14:paraId="57E9D210" w14:textId="77777777" w:rsidR="003C16A1" w:rsidRPr="003C16A1" w:rsidRDefault="003C16A1" w:rsidP="003C16A1">
      <w:pPr>
        <w:widowControl w:val="0"/>
        <w:numPr>
          <w:ilvl w:val="0"/>
          <w:numId w:val="7"/>
        </w:numPr>
        <w:tabs>
          <w:tab w:val="clear" w:pos="360"/>
          <w:tab w:val="num" w:pos="720"/>
        </w:tabs>
        <w:autoSpaceDE w:val="0"/>
        <w:autoSpaceDN w:val="0"/>
        <w:adjustRightInd w:val="0"/>
        <w:spacing w:line="240" w:lineRule="exact"/>
        <w:jc w:val="both"/>
        <w:rPr>
          <w:spacing w:val="4"/>
          <w:sz w:val="20"/>
          <w:szCs w:val="20"/>
        </w:rPr>
      </w:pPr>
      <w:r w:rsidRPr="003C16A1">
        <w:rPr>
          <w:b/>
          <w:bCs/>
          <w:spacing w:val="4"/>
          <w:sz w:val="20"/>
          <w:szCs w:val="20"/>
        </w:rPr>
        <w:t>Characterize outputs:</w:t>
      </w:r>
      <w:r w:rsidRPr="003C16A1">
        <w:rPr>
          <w:spacing w:val="4"/>
          <w:sz w:val="20"/>
          <w:szCs w:val="20"/>
        </w:rPr>
        <w:t xml:space="preserve"> Where are outputs most prominent—physical, psychological, or behavioral?</w:t>
      </w:r>
    </w:p>
    <w:p w14:paraId="402C8741" w14:textId="77777777" w:rsidR="003C16A1" w:rsidRPr="003C16A1" w:rsidRDefault="003C16A1" w:rsidP="003C16A1">
      <w:pPr>
        <w:widowControl w:val="0"/>
        <w:numPr>
          <w:ilvl w:val="0"/>
          <w:numId w:val="7"/>
        </w:numPr>
        <w:tabs>
          <w:tab w:val="clear" w:pos="360"/>
          <w:tab w:val="num" w:pos="720"/>
        </w:tabs>
        <w:autoSpaceDE w:val="0"/>
        <w:autoSpaceDN w:val="0"/>
        <w:adjustRightInd w:val="0"/>
        <w:spacing w:line="240" w:lineRule="exact"/>
        <w:jc w:val="both"/>
        <w:rPr>
          <w:spacing w:val="4"/>
          <w:sz w:val="20"/>
          <w:szCs w:val="20"/>
        </w:rPr>
      </w:pPr>
      <w:r w:rsidRPr="003C16A1">
        <w:rPr>
          <w:b/>
          <w:bCs/>
          <w:spacing w:val="4"/>
          <w:sz w:val="20"/>
          <w:szCs w:val="20"/>
        </w:rPr>
        <w:t>Identify amplification loops:</w:t>
      </w:r>
      <w:r w:rsidRPr="003C16A1">
        <w:rPr>
          <w:spacing w:val="4"/>
          <w:sz w:val="20"/>
          <w:szCs w:val="20"/>
        </w:rPr>
        <w:t xml:space="preserve"> Why do symptoms persist (anxiety, rumination, avoidance, poor sleep, self-monitoring, healthcare behaviors, etc.)?</w:t>
      </w:r>
    </w:p>
    <w:p w14:paraId="074DA17B"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This approach enables a realistic reframing of treatment goals—from “zero symptoms” to “breaking loops and restoring functioning.”</w:t>
      </w:r>
    </w:p>
    <w:p w14:paraId="4838AF7E" w14:textId="77777777" w:rsidR="003C16A1" w:rsidRPr="003C16A1" w:rsidRDefault="003C16A1" w:rsidP="003C16A1">
      <w:pPr>
        <w:widowControl w:val="0"/>
        <w:autoSpaceDE w:val="0"/>
        <w:autoSpaceDN w:val="0"/>
        <w:adjustRightInd w:val="0"/>
        <w:spacing w:line="240" w:lineRule="exact"/>
        <w:jc w:val="both"/>
        <w:rPr>
          <w:spacing w:val="4"/>
          <w:sz w:val="20"/>
          <w:szCs w:val="20"/>
        </w:rPr>
      </w:pPr>
    </w:p>
    <w:p w14:paraId="4C57F53B" w14:textId="0D9188ED" w:rsidR="003C16A1" w:rsidRPr="003C16A1" w:rsidRDefault="003C16A1" w:rsidP="003C16A1">
      <w:pPr>
        <w:widowControl w:val="0"/>
        <w:autoSpaceDE w:val="0"/>
        <w:autoSpaceDN w:val="0"/>
        <w:adjustRightInd w:val="0"/>
        <w:spacing w:line="240" w:lineRule="exact"/>
        <w:jc w:val="both"/>
        <w:rPr>
          <w:b/>
          <w:bCs/>
          <w:spacing w:val="4"/>
          <w:sz w:val="20"/>
          <w:szCs w:val="20"/>
        </w:rPr>
      </w:pPr>
      <w:r w:rsidRPr="003C16A1">
        <w:rPr>
          <w:b/>
          <w:bCs/>
          <w:spacing w:val="4"/>
          <w:sz w:val="20"/>
          <w:szCs w:val="20"/>
        </w:rPr>
        <w:t xml:space="preserve">3. Brain Overwork Syndrome: A Cross-Organ Clinical Model of Psychosocial Stressor–Driven </w:t>
      </w:r>
      <w:proofErr w:type="spellStart"/>
      <w:r w:rsidRPr="003C16A1">
        <w:rPr>
          <w:b/>
          <w:bCs/>
          <w:spacing w:val="4"/>
          <w:sz w:val="20"/>
          <w:szCs w:val="20"/>
        </w:rPr>
        <w:t>Multisymptom</w:t>
      </w:r>
      <w:proofErr w:type="spellEnd"/>
      <w:r w:rsidRPr="003C16A1">
        <w:rPr>
          <w:b/>
          <w:bCs/>
          <w:spacing w:val="4"/>
          <w:sz w:val="20"/>
          <w:szCs w:val="20"/>
        </w:rPr>
        <w:t xml:space="preserve"> Presentations </w:t>
      </w:r>
    </w:p>
    <w:p w14:paraId="552F249C" w14:textId="77777777" w:rsidR="003C16A1" w:rsidRPr="003C16A1" w:rsidRDefault="003C16A1" w:rsidP="003C16A1">
      <w:pPr>
        <w:widowControl w:val="0"/>
        <w:autoSpaceDE w:val="0"/>
        <w:autoSpaceDN w:val="0"/>
        <w:adjustRightInd w:val="0"/>
        <w:spacing w:line="240" w:lineRule="exact"/>
        <w:jc w:val="both"/>
        <w:rPr>
          <w:b/>
          <w:bCs/>
          <w:spacing w:val="4"/>
          <w:sz w:val="20"/>
          <w:szCs w:val="20"/>
        </w:rPr>
      </w:pPr>
      <w:r w:rsidRPr="003C16A1">
        <w:rPr>
          <w:b/>
          <w:bCs/>
          <w:spacing w:val="4"/>
          <w:sz w:val="20"/>
          <w:szCs w:val="20"/>
        </w:rPr>
        <w:t xml:space="preserve">3.1. Definition: A State of Persistent “Brain Over-Recruitment” Driven by Psychosocial Stressor </w:t>
      </w:r>
      <w:r w:rsidRPr="003C16A1">
        <w:rPr>
          <w:b/>
          <w:bCs/>
          <w:spacing w:val="4"/>
          <w:sz w:val="20"/>
          <w:szCs w:val="20"/>
        </w:rPr>
        <w:t>Input</w:t>
      </w:r>
    </w:p>
    <w:p w14:paraId="0C9C6392"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 xml:space="preserve">To understand the diverse disturbances that arise from Psychosocial Stressor, we have used the concept of </w:t>
      </w:r>
      <w:r w:rsidRPr="003C16A1">
        <w:rPr>
          <w:b/>
          <w:bCs/>
          <w:spacing w:val="4"/>
          <w:sz w:val="20"/>
          <w:szCs w:val="20"/>
        </w:rPr>
        <w:t>“Brain Overwork.”</w:t>
      </w:r>
      <w:r w:rsidRPr="003C16A1">
        <w:rPr>
          <w:spacing w:val="4"/>
          <w:sz w:val="20"/>
          <w:szCs w:val="20"/>
        </w:rPr>
        <w:t xml:space="preserve"> Here, brain overwork refers to a state in which brain activity </w:t>
      </w:r>
      <w:r w:rsidRPr="003C16A1">
        <w:rPr>
          <w:b/>
          <w:bCs/>
          <w:spacing w:val="4"/>
          <w:sz w:val="20"/>
          <w:szCs w:val="20"/>
        </w:rPr>
        <w:t>continues to “push,” cannot shift gears, cannot rest, and remains excessively recruited</w:t>
      </w:r>
      <w:r w:rsidRPr="003C16A1">
        <w:rPr>
          <w:spacing w:val="4"/>
          <w:sz w:val="20"/>
          <w:szCs w:val="20"/>
        </w:rPr>
        <w:t xml:space="preserve">. Importantly, this is not merely a metaphor; it can be treated as a </w:t>
      </w:r>
      <w:r w:rsidRPr="003C16A1">
        <w:rPr>
          <w:b/>
          <w:bCs/>
          <w:spacing w:val="4"/>
          <w:sz w:val="20"/>
          <w:szCs w:val="20"/>
        </w:rPr>
        <w:t>clinically observable constellation of symptoms</w:t>
      </w:r>
      <w:r w:rsidRPr="003C16A1">
        <w:rPr>
          <w:spacing w:val="4"/>
          <w:sz w:val="20"/>
          <w:szCs w:val="20"/>
        </w:rPr>
        <w:t>.</w:t>
      </w:r>
    </w:p>
    <w:p w14:paraId="66A484EB"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In this paper, we define it as a syndrome as follows:</w:t>
      </w:r>
    </w:p>
    <w:p w14:paraId="508C2401"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b/>
          <w:bCs/>
          <w:spacing w:val="4"/>
          <w:sz w:val="20"/>
          <w:szCs w:val="20"/>
        </w:rPr>
        <w:t>Brain Overwork Syndrome:</w:t>
      </w:r>
      <w:r w:rsidRPr="003C16A1">
        <w:rPr>
          <w:spacing w:val="4"/>
          <w:sz w:val="20"/>
          <w:szCs w:val="20"/>
        </w:rPr>
        <w:t xml:space="preserve"> A clinical state in which Psychosocial Stressor input is repeated or sustained, leading to chronic </w:t>
      </w:r>
      <w:r w:rsidRPr="003C16A1">
        <w:rPr>
          <w:b/>
          <w:bCs/>
          <w:spacing w:val="4"/>
          <w:sz w:val="20"/>
          <w:szCs w:val="20"/>
        </w:rPr>
        <w:t>brain over-recruitment</w:t>
      </w:r>
      <w:r w:rsidRPr="003C16A1">
        <w:rPr>
          <w:spacing w:val="4"/>
          <w:sz w:val="20"/>
          <w:szCs w:val="20"/>
        </w:rPr>
        <w:t xml:space="preserve"> (difficulty disengaging/switching, hyperarousal, and excessive prediction/anticipatory processing), such that </w:t>
      </w:r>
      <w:r w:rsidRPr="003C16A1">
        <w:rPr>
          <w:b/>
          <w:bCs/>
          <w:spacing w:val="4"/>
          <w:sz w:val="20"/>
          <w:szCs w:val="20"/>
        </w:rPr>
        <w:t>psychological symptoms</w:t>
      </w:r>
      <w:r w:rsidRPr="003C16A1">
        <w:rPr>
          <w:spacing w:val="4"/>
          <w:sz w:val="20"/>
          <w:szCs w:val="20"/>
        </w:rPr>
        <w:t xml:space="preserve"> (e.g., depression and anxiety) and </w:t>
      </w:r>
      <w:r w:rsidRPr="003C16A1">
        <w:rPr>
          <w:b/>
          <w:bCs/>
          <w:spacing w:val="4"/>
          <w:sz w:val="20"/>
          <w:szCs w:val="20"/>
        </w:rPr>
        <w:t>brain-mediated functional physical symptoms</w:t>
      </w:r>
      <w:r w:rsidRPr="003C16A1">
        <w:rPr>
          <w:spacing w:val="4"/>
          <w:sz w:val="20"/>
          <w:szCs w:val="20"/>
        </w:rPr>
        <w:t xml:space="preserve"> co-occur </w:t>
      </w:r>
      <w:r w:rsidRPr="003C16A1">
        <w:rPr>
          <w:b/>
          <w:bCs/>
          <w:spacing w:val="4"/>
          <w:sz w:val="20"/>
          <w:szCs w:val="20"/>
        </w:rPr>
        <w:t>concurrently across organ domains</w:t>
      </w:r>
      <w:r w:rsidRPr="003C16A1">
        <w:rPr>
          <w:spacing w:val="4"/>
          <w:sz w:val="20"/>
          <w:szCs w:val="20"/>
        </w:rPr>
        <w:t>. Symptoms, anxiety, and behavioral changes may become “re-inputs,” forming self-amplifying loops.</w:t>
      </w:r>
    </w:p>
    <w:p w14:paraId="2B4E2523"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 xml:space="preserve">Terminology </w:t>
      </w:r>
      <w:proofErr w:type="gramStart"/>
      <w:r w:rsidRPr="003C16A1">
        <w:rPr>
          <w:spacing w:val="4"/>
          <w:sz w:val="20"/>
          <w:szCs w:val="20"/>
        </w:rPr>
        <w:t>note</w:t>
      </w:r>
      <w:proofErr w:type="gramEnd"/>
      <w:r w:rsidRPr="003C16A1">
        <w:rPr>
          <w:spacing w:val="4"/>
          <w:sz w:val="20"/>
          <w:szCs w:val="20"/>
        </w:rPr>
        <w:t>: To avoid confusion, the term Brain Overwork Syndrome is written out in full throughout this review. The abbreviation BOS is reserved for the Brain Overwork Scale, which will be addressed in Review 4.</w:t>
      </w:r>
    </w:p>
    <w:p w14:paraId="6FF38355"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i/>
          <w:iCs/>
          <w:spacing w:val="4"/>
          <w:sz w:val="20"/>
          <w:szCs w:val="20"/>
        </w:rPr>
        <w:t xml:space="preserve">While exclusion of, and assessment for comorbid, physical disease is a prerequisite, </w:t>
      </w:r>
      <w:r w:rsidRPr="003C16A1">
        <w:rPr>
          <w:rFonts w:hint="eastAsia"/>
          <w:i/>
          <w:iCs/>
          <w:spacing w:val="4"/>
          <w:sz w:val="20"/>
          <w:szCs w:val="20"/>
        </w:rPr>
        <w:t>Brain Overwork Syndrome is</w:t>
      </w:r>
      <w:r w:rsidRPr="003C16A1">
        <w:rPr>
          <w:i/>
          <w:iCs/>
          <w:spacing w:val="4"/>
          <w:sz w:val="20"/>
          <w:szCs w:val="20"/>
        </w:rPr>
        <w:t xml:space="preserve"> positioned as a core model that explains psychosocially driven chronicity mechanisms and connects them to intervention</w:t>
      </w:r>
      <w:r w:rsidRPr="003C16A1">
        <w:rPr>
          <w:spacing w:val="4"/>
          <w:sz w:val="20"/>
          <w:szCs w:val="20"/>
        </w:rPr>
        <w:t xml:space="preserve"> (Friston, 2010; Clark, 2013).</w:t>
      </w:r>
    </w:p>
    <w:p w14:paraId="7D725D45" w14:textId="58D637CC" w:rsidR="003C16A1" w:rsidRDefault="003C16A1" w:rsidP="003C16A1">
      <w:pPr>
        <w:widowControl w:val="0"/>
        <w:autoSpaceDE w:val="0"/>
        <w:autoSpaceDN w:val="0"/>
        <w:adjustRightInd w:val="0"/>
        <w:spacing w:line="240" w:lineRule="exact"/>
        <w:jc w:val="both"/>
        <w:rPr>
          <w:spacing w:val="4"/>
          <w:sz w:val="20"/>
          <w:szCs w:val="20"/>
        </w:rPr>
      </w:pPr>
      <w:r w:rsidRPr="003C16A1">
        <w:rPr>
          <w:b/>
          <w:bCs/>
          <w:spacing w:val="4"/>
          <w:sz w:val="20"/>
          <w:szCs w:val="20"/>
        </w:rPr>
        <w:lastRenderedPageBreak/>
        <w:t>Figure 2. Brain Overwork Syndrome.</w:t>
      </w:r>
      <w:r w:rsidRPr="003C16A1">
        <w:rPr>
          <w:spacing w:val="4"/>
          <w:sz w:val="20"/>
          <w:szCs w:val="20"/>
        </w:rPr>
        <w:t xml:space="preserve"> </w:t>
      </w:r>
      <w:r w:rsidRPr="003C16A1">
        <w:rPr>
          <w:rFonts w:hint="eastAsia"/>
          <w:spacing w:val="4"/>
          <w:sz w:val="20"/>
          <w:szCs w:val="20"/>
        </w:rPr>
        <w:t>Brain Overwork Syndrome is</w:t>
      </w:r>
      <w:r w:rsidRPr="003C16A1">
        <w:rPr>
          <w:spacing w:val="4"/>
          <w:sz w:val="20"/>
          <w:szCs w:val="20"/>
        </w:rPr>
        <w:t xml:space="preserve"> a clinical state in which repeated or sustained psychosocial stressor input leads to chronic over-recruitment of brain regulatory systems. As a result, psychological symptoms and brain-mediated functional physical symptoms co-occur across multiple organ domains.</w:t>
      </w:r>
    </w:p>
    <w:p w14:paraId="11D53D1B" w14:textId="77777777" w:rsidR="003C16A1" w:rsidRDefault="003C16A1" w:rsidP="003C16A1">
      <w:pPr>
        <w:widowControl w:val="0"/>
        <w:autoSpaceDE w:val="0"/>
        <w:autoSpaceDN w:val="0"/>
        <w:adjustRightInd w:val="0"/>
        <w:spacing w:line="240" w:lineRule="exact"/>
        <w:jc w:val="both"/>
        <w:rPr>
          <w:spacing w:val="4"/>
          <w:sz w:val="20"/>
          <w:szCs w:val="20"/>
        </w:rPr>
      </w:pPr>
    </w:p>
    <w:p w14:paraId="70B0B0D8" w14:textId="77777777" w:rsidR="003C16A1" w:rsidRPr="003C16A1" w:rsidRDefault="003C16A1" w:rsidP="003C16A1">
      <w:pPr>
        <w:widowControl w:val="0"/>
        <w:autoSpaceDE w:val="0"/>
        <w:autoSpaceDN w:val="0"/>
        <w:adjustRightInd w:val="0"/>
        <w:spacing w:line="240" w:lineRule="exact"/>
        <w:jc w:val="both"/>
        <w:rPr>
          <w:b/>
          <w:bCs/>
          <w:spacing w:val="4"/>
          <w:sz w:val="20"/>
          <w:szCs w:val="20"/>
        </w:rPr>
      </w:pPr>
      <w:r w:rsidRPr="003C16A1">
        <w:rPr>
          <w:b/>
          <w:bCs/>
          <w:spacing w:val="4"/>
          <w:sz w:val="20"/>
          <w:szCs w:val="20"/>
        </w:rPr>
        <w:t>3.2. Clinical Phenotype: Three Intuitive “Cores”</w:t>
      </w:r>
    </w:p>
    <w:p w14:paraId="457D338C" w14:textId="0AB09055"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 xml:space="preserve">The clinical expression of brain overwork takes </w:t>
      </w:r>
      <w:r w:rsidRPr="003C16A1">
        <w:rPr>
          <w:spacing w:val="4"/>
          <w:sz w:val="20"/>
          <w:szCs w:val="20"/>
        </w:rPr>
        <w:t>every day</w:t>
      </w:r>
      <w:r w:rsidRPr="003C16A1">
        <w:rPr>
          <w:spacing w:val="4"/>
          <w:sz w:val="20"/>
          <w:szCs w:val="20"/>
        </w:rPr>
        <w:t>, concrete forms:</w:t>
      </w:r>
    </w:p>
    <w:p w14:paraId="6F2F5D0B" w14:textId="77777777" w:rsidR="003C16A1" w:rsidRPr="003C16A1" w:rsidRDefault="003C16A1" w:rsidP="003C16A1">
      <w:pPr>
        <w:widowControl w:val="0"/>
        <w:numPr>
          <w:ilvl w:val="0"/>
          <w:numId w:val="8"/>
        </w:numPr>
        <w:tabs>
          <w:tab w:val="clear" w:pos="360"/>
          <w:tab w:val="num" w:pos="720"/>
        </w:tabs>
        <w:autoSpaceDE w:val="0"/>
        <w:autoSpaceDN w:val="0"/>
        <w:adjustRightInd w:val="0"/>
        <w:spacing w:line="240" w:lineRule="exact"/>
        <w:jc w:val="both"/>
        <w:rPr>
          <w:spacing w:val="4"/>
          <w:sz w:val="20"/>
          <w:szCs w:val="20"/>
        </w:rPr>
      </w:pPr>
      <w:r w:rsidRPr="003C16A1">
        <w:rPr>
          <w:b/>
          <w:bCs/>
          <w:spacing w:val="4"/>
          <w:sz w:val="20"/>
          <w:szCs w:val="20"/>
        </w:rPr>
        <w:t>Excessive thinking (rumination/overthinking):</w:t>
      </w:r>
      <w:r w:rsidRPr="003C16A1">
        <w:rPr>
          <w:spacing w:val="4"/>
          <w:sz w:val="20"/>
          <w:szCs w:val="20"/>
        </w:rPr>
        <w:t xml:space="preserve"> inability to stop thinking, repetitive brooding, chained future worries, and difficulty switching attention or mindset (</w:t>
      </w:r>
      <w:proofErr w:type="spellStart"/>
      <w:r w:rsidRPr="003C16A1">
        <w:rPr>
          <w:spacing w:val="4"/>
          <w:sz w:val="20"/>
          <w:szCs w:val="20"/>
        </w:rPr>
        <w:t>Brosschot</w:t>
      </w:r>
      <w:proofErr w:type="spellEnd"/>
      <w:r w:rsidRPr="003C16A1">
        <w:rPr>
          <w:spacing w:val="4"/>
          <w:sz w:val="20"/>
          <w:szCs w:val="20"/>
        </w:rPr>
        <w:t xml:space="preserve"> et al., 2006).</w:t>
      </w:r>
    </w:p>
    <w:p w14:paraId="07117160" w14:textId="77777777" w:rsidR="003C16A1" w:rsidRPr="003C16A1" w:rsidRDefault="003C16A1" w:rsidP="003C16A1">
      <w:pPr>
        <w:widowControl w:val="0"/>
        <w:numPr>
          <w:ilvl w:val="0"/>
          <w:numId w:val="8"/>
        </w:numPr>
        <w:tabs>
          <w:tab w:val="clear" w:pos="360"/>
          <w:tab w:val="num" w:pos="720"/>
        </w:tabs>
        <w:autoSpaceDE w:val="0"/>
        <w:autoSpaceDN w:val="0"/>
        <w:adjustRightInd w:val="0"/>
        <w:spacing w:line="240" w:lineRule="exact"/>
        <w:jc w:val="both"/>
        <w:rPr>
          <w:spacing w:val="4"/>
          <w:sz w:val="20"/>
          <w:szCs w:val="20"/>
        </w:rPr>
      </w:pPr>
      <w:r w:rsidRPr="003C16A1">
        <w:rPr>
          <w:b/>
          <w:bCs/>
          <w:spacing w:val="4"/>
          <w:sz w:val="20"/>
          <w:szCs w:val="20"/>
        </w:rPr>
        <w:t>Hypersensitivity:</w:t>
      </w:r>
      <w:r w:rsidRPr="003C16A1">
        <w:rPr>
          <w:spacing w:val="4"/>
          <w:sz w:val="20"/>
          <w:szCs w:val="20"/>
        </w:rPr>
        <w:t xml:space="preserve"> overreacting to others’ words, heightened sensitivity to gaze or tone of voice, and distress from minor stimuli (Barsky et al., 1999; Woolf, 2011; Yunus, 2007).</w:t>
      </w:r>
    </w:p>
    <w:p w14:paraId="43372573" w14:textId="77777777" w:rsidR="003C16A1" w:rsidRPr="003C16A1" w:rsidRDefault="003C16A1" w:rsidP="003C16A1">
      <w:pPr>
        <w:widowControl w:val="0"/>
        <w:numPr>
          <w:ilvl w:val="0"/>
          <w:numId w:val="8"/>
        </w:numPr>
        <w:tabs>
          <w:tab w:val="clear" w:pos="360"/>
          <w:tab w:val="num" w:pos="720"/>
        </w:tabs>
        <w:autoSpaceDE w:val="0"/>
        <w:autoSpaceDN w:val="0"/>
        <w:adjustRightInd w:val="0"/>
        <w:spacing w:line="240" w:lineRule="exact"/>
        <w:jc w:val="both"/>
        <w:rPr>
          <w:spacing w:val="4"/>
          <w:sz w:val="20"/>
          <w:szCs w:val="20"/>
        </w:rPr>
      </w:pPr>
      <w:r w:rsidRPr="003C16A1">
        <w:rPr>
          <w:b/>
          <w:bCs/>
          <w:spacing w:val="4"/>
          <w:sz w:val="20"/>
          <w:szCs w:val="20"/>
        </w:rPr>
        <w:t>Restlessness (restlessness/hyperarousal):</w:t>
      </w:r>
      <w:r w:rsidRPr="003C16A1">
        <w:rPr>
          <w:spacing w:val="4"/>
          <w:sz w:val="20"/>
          <w:szCs w:val="20"/>
        </w:rPr>
        <w:t xml:space="preserve"> inability to sit still, persistent sense of being rushed or pressured, shallow sleep, and feeling chased by time (Harvey, 2002; Trauer et al., 2015).</w:t>
      </w:r>
    </w:p>
    <w:p w14:paraId="35A481BF"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Repeated Psychosocial Stressor typically shows habituation of biological responses across exposures; impaired habituation may therefore be relevant to the persistent hyperarousal and difficulty disengaging observed in Brain Overwork Syndrome (Barthel et al., 2025).</w:t>
      </w:r>
    </w:p>
    <w:p w14:paraId="0312557B"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 xml:space="preserve">If we try to subsume this state entirely under conventional diagnostic labels (e.g., depressive disorders, anxiety disorders, somatic symptom disorder), the </w:t>
      </w:r>
      <w:r w:rsidRPr="003C16A1">
        <w:rPr>
          <w:b/>
          <w:bCs/>
          <w:spacing w:val="4"/>
          <w:sz w:val="20"/>
          <w:szCs w:val="20"/>
        </w:rPr>
        <w:t>multidimensional nature</w:t>
      </w:r>
      <w:r w:rsidRPr="003C16A1">
        <w:rPr>
          <w:spacing w:val="4"/>
          <w:sz w:val="20"/>
          <w:szCs w:val="20"/>
        </w:rPr>
        <w:t xml:space="preserve"> and </w:t>
      </w:r>
      <w:r w:rsidRPr="003C16A1">
        <w:rPr>
          <w:b/>
          <w:bCs/>
          <w:spacing w:val="4"/>
          <w:sz w:val="20"/>
          <w:szCs w:val="20"/>
        </w:rPr>
        <w:t>temporal fluctuation</w:t>
      </w:r>
      <w:r w:rsidRPr="003C16A1">
        <w:rPr>
          <w:spacing w:val="4"/>
          <w:sz w:val="20"/>
          <w:szCs w:val="20"/>
        </w:rPr>
        <w:t xml:space="preserve"> of the presentation can become difficult to appreciate. Conversely, dismissing it as “just in the mind” isolates patients in an experience of </w:t>
      </w:r>
      <w:r w:rsidRPr="003C16A1">
        <w:rPr>
          <w:b/>
          <w:bCs/>
          <w:spacing w:val="4"/>
          <w:sz w:val="20"/>
          <w:szCs w:val="20"/>
        </w:rPr>
        <w:t>unrecognized suffering</w:t>
      </w:r>
      <w:r w:rsidRPr="003C16A1">
        <w:rPr>
          <w:spacing w:val="4"/>
          <w:sz w:val="20"/>
          <w:szCs w:val="20"/>
        </w:rPr>
        <w:t xml:space="preserve">. Brain Overwork Syndrome addresses this intermediate domain by conceptualizing it as a </w:t>
      </w:r>
      <w:r w:rsidRPr="003C16A1">
        <w:rPr>
          <w:b/>
          <w:bCs/>
          <w:spacing w:val="4"/>
          <w:sz w:val="20"/>
          <w:szCs w:val="20"/>
        </w:rPr>
        <w:t>state</w:t>
      </w:r>
      <w:r w:rsidRPr="003C16A1">
        <w:rPr>
          <w:spacing w:val="4"/>
          <w:sz w:val="20"/>
          <w:szCs w:val="20"/>
        </w:rPr>
        <w:t xml:space="preserve">, offering a clinical model that links </w:t>
      </w:r>
      <w:r w:rsidRPr="003C16A1">
        <w:rPr>
          <w:b/>
          <w:bCs/>
          <w:spacing w:val="4"/>
          <w:sz w:val="20"/>
          <w:szCs w:val="20"/>
        </w:rPr>
        <w:t>explanation, assessment, and intervention</w:t>
      </w:r>
      <w:r w:rsidRPr="003C16A1">
        <w:rPr>
          <w:spacing w:val="4"/>
          <w:sz w:val="20"/>
          <w:szCs w:val="20"/>
        </w:rPr>
        <w:t>.</w:t>
      </w:r>
    </w:p>
    <w:p w14:paraId="71660208" w14:textId="77777777" w:rsidR="003C16A1" w:rsidRPr="003C16A1" w:rsidRDefault="003C16A1" w:rsidP="003C16A1">
      <w:pPr>
        <w:widowControl w:val="0"/>
        <w:autoSpaceDE w:val="0"/>
        <w:autoSpaceDN w:val="0"/>
        <w:adjustRightInd w:val="0"/>
        <w:spacing w:line="240" w:lineRule="exact"/>
        <w:jc w:val="both"/>
        <w:rPr>
          <w:spacing w:val="4"/>
          <w:sz w:val="20"/>
          <w:szCs w:val="20"/>
        </w:rPr>
      </w:pPr>
    </w:p>
    <w:p w14:paraId="7168EF82" w14:textId="77777777" w:rsidR="003C16A1" w:rsidRPr="003C16A1" w:rsidRDefault="003C16A1" w:rsidP="003C16A1">
      <w:pPr>
        <w:widowControl w:val="0"/>
        <w:autoSpaceDE w:val="0"/>
        <w:autoSpaceDN w:val="0"/>
        <w:adjustRightInd w:val="0"/>
        <w:spacing w:line="240" w:lineRule="exact"/>
        <w:jc w:val="both"/>
        <w:rPr>
          <w:b/>
          <w:bCs/>
          <w:spacing w:val="4"/>
          <w:sz w:val="20"/>
          <w:szCs w:val="20"/>
        </w:rPr>
      </w:pPr>
      <w:r w:rsidRPr="003C16A1">
        <w:rPr>
          <w:b/>
          <w:bCs/>
          <w:spacing w:val="4"/>
          <w:sz w:val="20"/>
          <w:szCs w:val="20"/>
        </w:rPr>
        <w:t>3.3. An Integrative View Beyond “Comorbid Diagnoses”: Cross-Organ Symptom Expression</w:t>
      </w:r>
    </w:p>
    <w:p w14:paraId="61B92FB5"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 xml:space="preserve">In organ-based clinical practice, conditions such as hypersensitivity-related cough, irritable bowel symptoms, reflux-related symptoms, cardiac neurosis/functional cardiac complaints, and refractory dizziness frequently </w:t>
      </w:r>
      <w:r w:rsidRPr="003C16A1">
        <w:rPr>
          <w:b/>
          <w:bCs/>
          <w:spacing w:val="4"/>
          <w:sz w:val="20"/>
          <w:szCs w:val="20"/>
        </w:rPr>
        <w:t>co-occur</w:t>
      </w:r>
      <w:r w:rsidRPr="003C16A1">
        <w:rPr>
          <w:spacing w:val="4"/>
          <w:sz w:val="20"/>
          <w:szCs w:val="20"/>
        </w:rPr>
        <w:t xml:space="preserve">, and are also likely to be accompanied by depression/anxiety and sleep disturbances. When viewed through the Brain Overwork Syndrome framework, these presentations are often easier to understand not as “separate organ diseases that coincidentally overlap,” but as a coherent </w:t>
      </w:r>
      <w:r w:rsidRPr="003C16A1">
        <w:rPr>
          <w:spacing w:val="4"/>
          <w:sz w:val="20"/>
          <w:szCs w:val="20"/>
        </w:rPr>
        <w:t>sequence:</w:t>
      </w:r>
    </w:p>
    <w:p w14:paraId="186818BC"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b/>
          <w:bCs/>
          <w:spacing w:val="4"/>
          <w:sz w:val="20"/>
          <w:szCs w:val="20"/>
        </w:rPr>
        <w:t>Psychosocial Stressor → brain over-recruitment → dysregulation of autonomic function, interoception, and sensitivity → parallel symptom outputs across multiple organ systems.</w:t>
      </w:r>
    </w:p>
    <w:p w14:paraId="6C899FF0"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 xml:space="preserve">This formulation provides a foothold for shifting care for patients with multi-organ symptom spread from organ-by-organ “local optimization” toward a </w:t>
      </w:r>
      <w:r w:rsidRPr="003C16A1">
        <w:rPr>
          <w:b/>
          <w:bCs/>
          <w:spacing w:val="4"/>
          <w:sz w:val="20"/>
          <w:szCs w:val="20"/>
        </w:rPr>
        <w:t>unified, integrative explanation of the whole clinical picture</w:t>
      </w:r>
      <w:r w:rsidRPr="003C16A1">
        <w:rPr>
          <w:spacing w:val="4"/>
          <w:sz w:val="20"/>
          <w:szCs w:val="20"/>
        </w:rPr>
        <w:t xml:space="preserve"> (Paulus &amp; Stein, 2010; Seth, 2013; Barrett &amp; Simmons, 2015).</w:t>
      </w:r>
    </w:p>
    <w:p w14:paraId="76C9AA81" w14:textId="77777777" w:rsidR="003C16A1" w:rsidRPr="003C16A1" w:rsidRDefault="003C16A1" w:rsidP="003C16A1">
      <w:pPr>
        <w:widowControl w:val="0"/>
        <w:autoSpaceDE w:val="0"/>
        <w:autoSpaceDN w:val="0"/>
        <w:adjustRightInd w:val="0"/>
        <w:spacing w:line="240" w:lineRule="exact"/>
        <w:jc w:val="both"/>
        <w:rPr>
          <w:spacing w:val="4"/>
          <w:sz w:val="20"/>
          <w:szCs w:val="20"/>
        </w:rPr>
      </w:pPr>
    </w:p>
    <w:p w14:paraId="3B22E884" w14:textId="77777777" w:rsidR="003C16A1" w:rsidRPr="003C16A1" w:rsidRDefault="003C16A1" w:rsidP="003C16A1">
      <w:pPr>
        <w:widowControl w:val="0"/>
        <w:autoSpaceDE w:val="0"/>
        <w:autoSpaceDN w:val="0"/>
        <w:adjustRightInd w:val="0"/>
        <w:spacing w:line="240" w:lineRule="exact"/>
        <w:jc w:val="both"/>
        <w:rPr>
          <w:b/>
          <w:bCs/>
          <w:spacing w:val="4"/>
          <w:sz w:val="20"/>
          <w:szCs w:val="20"/>
        </w:rPr>
      </w:pPr>
      <w:r w:rsidRPr="003C16A1">
        <w:rPr>
          <w:b/>
          <w:bCs/>
          <w:spacing w:val="4"/>
          <w:sz w:val="20"/>
          <w:szCs w:val="20"/>
        </w:rPr>
        <w:t>4. Clinical Implications: The Same Symptoms Can Lead to Different Treatment Strategies / How to Handle “Normal” Test Results</w:t>
      </w:r>
    </w:p>
    <w:p w14:paraId="453EDE54" w14:textId="77777777" w:rsidR="003C16A1" w:rsidRPr="003C16A1" w:rsidRDefault="003C16A1" w:rsidP="003C16A1">
      <w:pPr>
        <w:widowControl w:val="0"/>
        <w:autoSpaceDE w:val="0"/>
        <w:autoSpaceDN w:val="0"/>
        <w:adjustRightInd w:val="0"/>
        <w:spacing w:line="240" w:lineRule="exact"/>
        <w:jc w:val="both"/>
        <w:rPr>
          <w:b/>
          <w:bCs/>
          <w:spacing w:val="4"/>
          <w:sz w:val="20"/>
          <w:szCs w:val="20"/>
        </w:rPr>
      </w:pPr>
    </w:p>
    <w:p w14:paraId="17E41635" w14:textId="77777777" w:rsidR="003C16A1" w:rsidRPr="003C16A1" w:rsidRDefault="003C16A1" w:rsidP="003C16A1">
      <w:pPr>
        <w:widowControl w:val="0"/>
        <w:autoSpaceDE w:val="0"/>
        <w:autoSpaceDN w:val="0"/>
        <w:adjustRightInd w:val="0"/>
        <w:spacing w:line="240" w:lineRule="exact"/>
        <w:jc w:val="both"/>
        <w:rPr>
          <w:b/>
          <w:bCs/>
          <w:spacing w:val="4"/>
          <w:sz w:val="20"/>
          <w:szCs w:val="20"/>
        </w:rPr>
      </w:pPr>
      <w:r w:rsidRPr="003C16A1">
        <w:rPr>
          <w:b/>
          <w:bCs/>
          <w:spacing w:val="4"/>
          <w:sz w:val="20"/>
          <w:szCs w:val="20"/>
        </w:rPr>
        <w:t>4.1. Physical Symptoms Easily Misattributed to “Physical Causes”: Why Treatment Becomes Prolonged</w:t>
      </w:r>
    </w:p>
    <w:p w14:paraId="2434B2FE"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 xml:space="preserve">When physical symptoms dominate the clinical picture, they are easily interpreted as originating from physical factors. In psychosocially driven Brain Overwork Syndrome, however, physical symptoms often appear as </w:t>
      </w:r>
      <w:r w:rsidRPr="003C16A1">
        <w:rPr>
          <w:b/>
          <w:bCs/>
          <w:spacing w:val="4"/>
          <w:sz w:val="20"/>
          <w:szCs w:val="20"/>
        </w:rPr>
        <w:t>disturbances of functional regulation</w:t>
      </w:r>
      <w:r w:rsidRPr="003C16A1">
        <w:rPr>
          <w:spacing w:val="4"/>
          <w:sz w:val="20"/>
          <w:szCs w:val="20"/>
        </w:rPr>
        <w:t xml:space="preserve"> and may be difficult to capture with routine testing. If clinicians explain only that “nothing is abnormal,” patients may develop stronger </w:t>
      </w:r>
      <w:r w:rsidRPr="003C16A1">
        <w:rPr>
          <w:b/>
          <w:bCs/>
          <w:spacing w:val="4"/>
          <w:sz w:val="20"/>
          <w:szCs w:val="20"/>
        </w:rPr>
        <w:t>uncertainty-based anxiety</w:t>
      </w:r>
      <w:r w:rsidRPr="003C16A1">
        <w:rPr>
          <w:spacing w:val="4"/>
          <w:sz w:val="20"/>
          <w:szCs w:val="20"/>
        </w:rPr>
        <w:t xml:space="preserve">, increasing </w:t>
      </w:r>
      <w:r w:rsidRPr="003C16A1">
        <w:rPr>
          <w:b/>
          <w:bCs/>
          <w:spacing w:val="4"/>
          <w:sz w:val="20"/>
          <w:szCs w:val="20"/>
        </w:rPr>
        <w:t>self-monitoring</w:t>
      </w:r>
      <w:r w:rsidRPr="003C16A1">
        <w:rPr>
          <w:spacing w:val="4"/>
          <w:sz w:val="20"/>
          <w:szCs w:val="20"/>
        </w:rPr>
        <w:t xml:space="preserve"> (checking pulse/respiration, searching online, repeated measurement) and </w:t>
      </w:r>
      <w:r w:rsidRPr="003C16A1">
        <w:rPr>
          <w:b/>
          <w:bCs/>
          <w:spacing w:val="4"/>
          <w:sz w:val="20"/>
          <w:szCs w:val="20"/>
        </w:rPr>
        <w:t>avoidance</w:t>
      </w:r>
      <w:r w:rsidRPr="003C16A1">
        <w:rPr>
          <w:spacing w:val="4"/>
          <w:sz w:val="20"/>
          <w:szCs w:val="20"/>
        </w:rPr>
        <w:t xml:space="preserve"> (avoiding going out, avoiding meals, repeated consultations). As a result, self-amplifying loops may become entrenched.</w:t>
      </w:r>
    </w:p>
    <w:p w14:paraId="14C3758B"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 xml:space="preserve">Therefore, what is clinically required is not merely reassurance that “tests are normal,” but presenting a </w:t>
      </w:r>
      <w:r w:rsidRPr="003C16A1">
        <w:rPr>
          <w:b/>
          <w:bCs/>
          <w:spacing w:val="4"/>
          <w:sz w:val="20"/>
          <w:szCs w:val="20"/>
        </w:rPr>
        <w:t>mechanism-based model</w:t>
      </w:r>
      <w:r w:rsidRPr="003C16A1">
        <w:rPr>
          <w:spacing w:val="4"/>
          <w:sz w:val="20"/>
          <w:szCs w:val="20"/>
        </w:rPr>
        <w:t xml:space="preserve"> that patients can accept—explaining </w:t>
      </w:r>
      <w:r w:rsidRPr="003C16A1">
        <w:rPr>
          <w:b/>
          <w:bCs/>
          <w:spacing w:val="4"/>
          <w:sz w:val="20"/>
          <w:szCs w:val="20"/>
        </w:rPr>
        <w:t>why symptoms persist</w:t>
      </w:r>
      <w:r w:rsidRPr="003C16A1">
        <w:rPr>
          <w:spacing w:val="4"/>
          <w:sz w:val="20"/>
          <w:szCs w:val="20"/>
        </w:rPr>
        <w:t xml:space="preserve"> (Rief &amp; Broadbent, 2007; Clark, 2013).</w:t>
      </w:r>
    </w:p>
    <w:p w14:paraId="298122F9"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This approach is consistent with recent clinical syntheses of persistent physical symptoms that emphasize shared explanatory models and management strategies beyond organ-by-organ exclusion (Löwe et al., 2024).</w:t>
      </w:r>
    </w:p>
    <w:p w14:paraId="5A277D40" w14:textId="77777777" w:rsidR="003C16A1" w:rsidRPr="003C16A1" w:rsidRDefault="003C16A1" w:rsidP="003C16A1">
      <w:pPr>
        <w:widowControl w:val="0"/>
        <w:autoSpaceDE w:val="0"/>
        <w:autoSpaceDN w:val="0"/>
        <w:adjustRightInd w:val="0"/>
        <w:spacing w:line="240" w:lineRule="exact"/>
        <w:jc w:val="both"/>
        <w:rPr>
          <w:spacing w:val="4"/>
          <w:sz w:val="20"/>
          <w:szCs w:val="20"/>
        </w:rPr>
      </w:pPr>
    </w:p>
    <w:p w14:paraId="37FCF570" w14:textId="77777777" w:rsidR="003C16A1" w:rsidRPr="003C16A1" w:rsidRDefault="003C16A1" w:rsidP="003C16A1">
      <w:pPr>
        <w:widowControl w:val="0"/>
        <w:autoSpaceDE w:val="0"/>
        <w:autoSpaceDN w:val="0"/>
        <w:adjustRightInd w:val="0"/>
        <w:spacing w:line="240" w:lineRule="exact"/>
        <w:jc w:val="both"/>
        <w:rPr>
          <w:b/>
          <w:bCs/>
          <w:spacing w:val="4"/>
          <w:sz w:val="20"/>
          <w:szCs w:val="20"/>
        </w:rPr>
      </w:pPr>
      <w:r w:rsidRPr="003C16A1">
        <w:rPr>
          <w:b/>
          <w:bCs/>
          <w:spacing w:val="4"/>
          <w:sz w:val="20"/>
          <w:szCs w:val="20"/>
        </w:rPr>
        <w:t>4.2. Differential Thinking and Hypothesis Setting: Four Questions to Suspect Psychosocially Driven Brain Overwork Syndrome</w:t>
      </w:r>
    </w:p>
    <w:p w14:paraId="7E60A6D2"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Assuming safety evaluation (exclusion of red flags) and the minimum necessary physical assessment, the following four questions are practical for suspecting psychosocially driven Brain Overwork Syndrome and formulating an initial hypothesis:</w:t>
      </w:r>
    </w:p>
    <w:p w14:paraId="5CECBE06" w14:textId="7EFB2678" w:rsidR="003C16A1" w:rsidRPr="003C16A1" w:rsidRDefault="003C16A1" w:rsidP="003C16A1">
      <w:pPr>
        <w:widowControl w:val="0"/>
        <w:numPr>
          <w:ilvl w:val="0"/>
          <w:numId w:val="9"/>
        </w:numPr>
        <w:autoSpaceDE w:val="0"/>
        <w:autoSpaceDN w:val="0"/>
        <w:adjustRightInd w:val="0"/>
        <w:spacing w:line="240" w:lineRule="exact"/>
        <w:jc w:val="both"/>
        <w:rPr>
          <w:spacing w:val="4"/>
          <w:sz w:val="20"/>
          <w:szCs w:val="20"/>
        </w:rPr>
      </w:pPr>
      <w:r w:rsidRPr="003C16A1">
        <w:rPr>
          <w:b/>
          <w:bCs/>
          <w:spacing w:val="4"/>
          <w:sz w:val="20"/>
          <w:szCs w:val="20"/>
        </w:rPr>
        <w:t>Can the symptoms be consistently explained by physical stressors alone</w:t>
      </w:r>
      <w:r w:rsidRPr="003C16A1">
        <w:rPr>
          <w:spacing w:val="4"/>
          <w:sz w:val="20"/>
          <w:szCs w:val="20"/>
        </w:rPr>
        <w:t xml:space="preserve"> (e.g., infection, </w:t>
      </w:r>
      <w:r w:rsidR="003A2CB7">
        <w:rPr>
          <w:b/>
          <w:noProof/>
          <w:szCs w:val="20"/>
        </w:rPr>
        <w:lastRenderedPageBreak/>
        <w:drawing>
          <wp:anchor distT="0" distB="0" distL="114300" distR="114300" simplePos="0" relativeHeight="251660288" behindDoc="0" locked="0" layoutInCell="1" allowOverlap="1" wp14:anchorId="3BFE191C" wp14:editId="693588F6">
            <wp:simplePos x="0" y="0"/>
            <wp:positionH relativeFrom="column">
              <wp:posOffset>3188970</wp:posOffset>
            </wp:positionH>
            <wp:positionV relativeFrom="paragraph">
              <wp:posOffset>0</wp:posOffset>
            </wp:positionV>
            <wp:extent cx="2916555" cy="3106420"/>
            <wp:effectExtent l="0" t="0" r="0" b="0"/>
            <wp:wrapTopAndBottom/>
            <wp:docPr id="12920719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71948" name="Picture 1292071948"/>
                    <pic:cNvPicPr/>
                  </pic:nvPicPr>
                  <pic:blipFill>
                    <a:blip r:embed="rId14"/>
                    <a:stretch>
                      <a:fillRect/>
                    </a:stretch>
                  </pic:blipFill>
                  <pic:spPr>
                    <a:xfrm>
                      <a:off x="0" y="0"/>
                      <a:ext cx="2916555" cy="3106420"/>
                    </a:xfrm>
                    <a:prstGeom prst="rect">
                      <a:avLst/>
                    </a:prstGeom>
                  </pic:spPr>
                </pic:pic>
              </a:graphicData>
            </a:graphic>
          </wp:anchor>
        </w:drawing>
      </w:r>
      <w:r w:rsidRPr="003C16A1">
        <w:rPr>
          <w:spacing w:val="4"/>
          <w:sz w:val="20"/>
          <w:szCs w:val="20"/>
        </w:rPr>
        <w:t>inflammation, hypoxemia, medications)?</w:t>
      </w:r>
    </w:p>
    <w:p w14:paraId="0142D037" w14:textId="77D6E9E1" w:rsidR="003C16A1" w:rsidRPr="003C16A1" w:rsidRDefault="003C16A1" w:rsidP="003C16A1">
      <w:pPr>
        <w:widowControl w:val="0"/>
        <w:numPr>
          <w:ilvl w:val="0"/>
          <w:numId w:val="9"/>
        </w:numPr>
        <w:autoSpaceDE w:val="0"/>
        <w:autoSpaceDN w:val="0"/>
        <w:adjustRightInd w:val="0"/>
        <w:spacing w:line="240" w:lineRule="exact"/>
        <w:jc w:val="both"/>
        <w:rPr>
          <w:spacing w:val="4"/>
          <w:sz w:val="20"/>
          <w:szCs w:val="20"/>
        </w:rPr>
      </w:pPr>
      <w:r w:rsidRPr="003C16A1">
        <w:rPr>
          <w:b/>
          <w:bCs/>
          <w:spacing w:val="4"/>
          <w:sz w:val="20"/>
          <w:szCs w:val="20"/>
        </w:rPr>
        <w:t>Do symptoms emerge concurrently across multiple organ domains</w:t>
      </w:r>
      <w:r w:rsidRPr="003C16A1">
        <w:rPr>
          <w:spacing w:val="4"/>
          <w:sz w:val="20"/>
          <w:szCs w:val="20"/>
        </w:rPr>
        <w:t xml:space="preserve"> (e.g., cough + reflux-like symptoms + palpitations + insomnia)?</w:t>
      </w:r>
    </w:p>
    <w:p w14:paraId="7B3A6DE6" w14:textId="1B1FE18F" w:rsidR="003C16A1" w:rsidRPr="003C16A1" w:rsidRDefault="003C16A1" w:rsidP="003C16A1">
      <w:pPr>
        <w:widowControl w:val="0"/>
        <w:numPr>
          <w:ilvl w:val="0"/>
          <w:numId w:val="9"/>
        </w:numPr>
        <w:autoSpaceDE w:val="0"/>
        <w:autoSpaceDN w:val="0"/>
        <w:adjustRightInd w:val="0"/>
        <w:spacing w:line="240" w:lineRule="exact"/>
        <w:jc w:val="both"/>
        <w:rPr>
          <w:spacing w:val="4"/>
          <w:sz w:val="20"/>
          <w:szCs w:val="20"/>
        </w:rPr>
      </w:pPr>
      <w:r w:rsidRPr="003C16A1">
        <w:rPr>
          <w:b/>
          <w:bCs/>
          <w:spacing w:val="4"/>
          <w:sz w:val="20"/>
          <w:szCs w:val="20"/>
        </w:rPr>
        <w:t>Is there objective organic evidence</w:t>
      </w:r>
      <w:r w:rsidRPr="003C16A1">
        <w:rPr>
          <w:spacing w:val="4"/>
          <w:sz w:val="20"/>
          <w:szCs w:val="20"/>
        </w:rPr>
        <w:t xml:space="preserve"> (test findings) that accounts for the symptoms?</w:t>
      </w:r>
    </w:p>
    <w:p w14:paraId="0B96F8EF" w14:textId="2092A660" w:rsidR="003C16A1" w:rsidRPr="003C16A1" w:rsidRDefault="003C16A1" w:rsidP="003C16A1">
      <w:pPr>
        <w:widowControl w:val="0"/>
        <w:numPr>
          <w:ilvl w:val="0"/>
          <w:numId w:val="9"/>
        </w:numPr>
        <w:autoSpaceDE w:val="0"/>
        <w:autoSpaceDN w:val="0"/>
        <w:adjustRightInd w:val="0"/>
        <w:spacing w:line="240" w:lineRule="exact"/>
        <w:jc w:val="both"/>
        <w:rPr>
          <w:spacing w:val="4"/>
          <w:sz w:val="20"/>
          <w:szCs w:val="20"/>
        </w:rPr>
      </w:pPr>
      <w:r w:rsidRPr="003C16A1">
        <w:rPr>
          <w:b/>
          <w:bCs/>
          <w:spacing w:val="4"/>
          <w:sz w:val="20"/>
          <w:szCs w:val="20"/>
        </w:rPr>
        <w:t>Is the response poor to standard treatments for physical disease</w:t>
      </w:r>
      <w:r w:rsidRPr="003C16A1">
        <w:rPr>
          <w:spacing w:val="4"/>
          <w:sz w:val="20"/>
          <w:szCs w:val="20"/>
        </w:rPr>
        <w:t>, with chronic, recurrent, or refractory patterns?</w:t>
      </w:r>
    </w:p>
    <w:p w14:paraId="39D8A8E3" w14:textId="5F4DD425"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 xml:space="preserve">These are not intended for “definitive diagnosis,” but to support </w:t>
      </w:r>
      <w:r w:rsidRPr="003C16A1">
        <w:rPr>
          <w:b/>
          <w:bCs/>
          <w:spacing w:val="4"/>
          <w:sz w:val="20"/>
          <w:szCs w:val="20"/>
        </w:rPr>
        <w:t>hypothesis setting</w:t>
      </w:r>
      <w:r w:rsidRPr="003C16A1">
        <w:rPr>
          <w:spacing w:val="4"/>
          <w:sz w:val="20"/>
          <w:szCs w:val="20"/>
        </w:rPr>
        <w:t xml:space="preserve"> for designing early intervention priorities. The hypothesis should not be fixed; it should be updated based on treatment response.</w:t>
      </w:r>
    </w:p>
    <w:p w14:paraId="47D3F1EB" w14:textId="77777777" w:rsidR="003C16A1" w:rsidRPr="003C16A1" w:rsidRDefault="003C16A1" w:rsidP="003C16A1">
      <w:pPr>
        <w:widowControl w:val="0"/>
        <w:autoSpaceDE w:val="0"/>
        <w:autoSpaceDN w:val="0"/>
        <w:adjustRightInd w:val="0"/>
        <w:spacing w:line="240" w:lineRule="exact"/>
        <w:jc w:val="both"/>
        <w:rPr>
          <w:spacing w:val="4"/>
          <w:sz w:val="20"/>
          <w:szCs w:val="20"/>
        </w:rPr>
      </w:pPr>
    </w:p>
    <w:p w14:paraId="28F49BF7" w14:textId="113ADE98" w:rsidR="003C16A1" w:rsidRPr="003C16A1" w:rsidRDefault="003C16A1" w:rsidP="003C16A1">
      <w:pPr>
        <w:widowControl w:val="0"/>
        <w:autoSpaceDE w:val="0"/>
        <w:autoSpaceDN w:val="0"/>
        <w:adjustRightInd w:val="0"/>
        <w:spacing w:line="240" w:lineRule="exact"/>
        <w:jc w:val="both"/>
        <w:rPr>
          <w:b/>
          <w:bCs/>
          <w:spacing w:val="4"/>
          <w:sz w:val="20"/>
          <w:szCs w:val="20"/>
        </w:rPr>
      </w:pPr>
      <w:r w:rsidRPr="003C16A1">
        <w:rPr>
          <w:b/>
          <w:bCs/>
          <w:spacing w:val="4"/>
          <w:sz w:val="20"/>
          <w:szCs w:val="20"/>
        </w:rPr>
        <w:t>4.3. Practical Assessment: A Three-Layer Model (Psychosocial Input / Output / Amplifying Loops)</w:t>
      </w:r>
    </w:p>
    <w:p w14:paraId="4B10132B"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When organizing the case as Brain Overwork Syndrome, assessment should be conducted in at least three layers:</w:t>
      </w:r>
    </w:p>
    <w:p w14:paraId="42BC3A8D" w14:textId="77777777" w:rsidR="003C16A1" w:rsidRPr="003C16A1" w:rsidRDefault="003C16A1" w:rsidP="003C16A1">
      <w:pPr>
        <w:widowControl w:val="0"/>
        <w:numPr>
          <w:ilvl w:val="0"/>
          <w:numId w:val="10"/>
        </w:numPr>
        <w:tabs>
          <w:tab w:val="clear" w:pos="360"/>
          <w:tab w:val="num" w:pos="720"/>
        </w:tabs>
        <w:autoSpaceDE w:val="0"/>
        <w:autoSpaceDN w:val="0"/>
        <w:adjustRightInd w:val="0"/>
        <w:spacing w:line="240" w:lineRule="exact"/>
        <w:jc w:val="both"/>
        <w:rPr>
          <w:spacing w:val="4"/>
          <w:sz w:val="20"/>
          <w:szCs w:val="20"/>
        </w:rPr>
      </w:pPr>
      <w:r w:rsidRPr="003C16A1">
        <w:rPr>
          <w:b/>
          <w:bCs/>
          <w:spacing w:val="4"/>
          <w:sz w:val="20"/>
          <w:szCs w:val="20"/>
        </w:rPr>
        <w:t>Identify psychosocial inputs (triggers):</w:t>
      </w:r>
      <w:r w:rsidRPr="003C16A1">
        <w:rPr>
          <w:spacing w:val="4"/>
          <w:sz w:val="20"/>
          <w:szCs w:val="20"/>
        </w:rPr>
        <w:t xml:space="preserve"> interpersonal stress, role strain, loss, overwork, information overload, future-related uncertainty, social isolation, etc.</w:t>
      </w:r>
    </w:p>
    <w:p w14:paraId="4A1F1C92" w14:textId="77777777" w:rsidR="003C16A1" w:rsidRPr="003C16A1" w:rsidRDefault="003C16A1" w:rsidP="003C16A1">
      <w:pPr>
        <w:widowControl w:val="0"/>
        <w:numPr>
          <w:ilvl w:val="0"/>
          <w:numId w:val="10"/>
        </w:numPr>
        <w:tabs>
          <w:tab w:val="clear" w:pos="360"/>
          <w:tab w:val="num" w:pos="720"/>
        </w:tabs>
        <w:autoSpaceDE w:val="0"/>
        <w:autoSpaceDN w:val="0"/>
        <w:adjustRightInd w:val="0"/>
        <w:spacing w:line="240" w:lineRule="exact"/>
        <w:jc w:val="both"/>
        <w:rPr>
          <w:spacing w:val="4"/>
          <w:sz w:val="20"/>
          <w:szCs w:val="20"/>
        </w:rPr>
      </w:pPr>
      <w:r w:rsidRPr="003C16A1">
        <w:rPr>
          <w:b/>
          <w:bCs/>
          <w:spacing w:val="4"/>
          <w:sz w:val="20"/>
          <w:szCs w:val="20"/>
        </w:rPr>
        <w:t>Characterize outputs:</w:t>
      </w:r>
    </w:p>
    <w:p w14:paraId="2697F5B7" w14:textId="77777777" w:rsidR="003C16A1" w:rsidRPr="003C16A1" w:rsidRDefault="003C16A1" w:rsidP="003C16A1">
      <w:pPr>
        <w:widowControl w:val="0"/>
        <w:numPr>
          <w:ilvl w:val="1"/>
          <w:numId w:val="10"/>
        </w:numPr>
        <w:tabs>
          <w:tab w:val="num" w:pos="1440"/>
        </w:tabs>
        <w:autoSpaceDE w:val="0"/>
        <w:autoSpaceDN w:val="0"/>
        <w:adjustRightInd w:val="0"/>
        <w:spacing w:line="240" w:lineRule="exact"/>
        <w:jc w:val="both"/>
        <w:rPr>
          <w:spacing w:val="4"/>
          <w:sz w:val="20"/>
          <w:szCs w:val="20"/>
        </w:rPr>
      </w:pPr>
      <w:r w:rsidRPr="003C16A1">
        <w:rPr>
          <w:b/>
          <w:bCs/>
          <w:spacing w:val="4"/>
          <w:sz w:val="20"/>
          <w:szCs w:val="20"/>
        </w:rPr>
        <w:t>Physical:</w:t>
      </w:r>
      <w:r w:rsidRPr="003C16A1">
        <w:rPr>
          <w:spacing w:val="4"/>
          <w:sz w:val="20"/>
          <w:szCs w:val="20"/>
        </w:rPr>
        <w:t xml:space="preserve"> palpitations, cough, subjective dyspnea, gastrointestinal symptoms, pain, fatigue, insomnia</w:t>
      </w:r>
    </w:p>
    <w:p w14:paraId="2EBA3DCE" w14:textId="77777777" w:rsidR="003C16A1" w:rsidRPr="003C16A1" w:rsidRDefault="003C16A1" w:rsidP="003C16A1">
      <w:pPr>
        <w:widowControl w:val="0"/>
        <w:numPr>
          <w:ilvl w:val="1"/>
          <w:numId w:val="10"/>
        </w:numPr>
        <w:tabs>
          <w:tab w:val="num" w:pos="1440"/>
        </w:tabs>
        <w:autoSpaceDE w:val="0"/>
        <w:autoSpaceDN w:val="0"/>
        <w:adjustRightInd w:val="0"/>
        <w:spacing w:line="240" w:lineRule="exact"/>
        <w:jc w:val="both"/>
        <w:rPr>
          <w:spacing w:val="4"/>
          <w:sz w:val="20"/>
          <w:szCs w:val="20"/>
        </w:rPr>
      </w:pPr>
      <w:r w:rsidRPr="003C16A1">
        <w:rPr>
          <w:b/>
          <w:bCs/>
          <w:spacing w:val="4"/>
          <w:sz w:val="20"/>
          <w:szCs w:val="20"/>
        </w:rPr>
        <w:t>Psychological:</w:t>
      </w:r>
      <w:r w:rsidRPr="003C16A1">
        <w:rPr>
          <w:spacing w:val="4"/>
          <w:sz w:val="20"/>
          <w:szCs w:val="20"/>
        </w:rPr>
        <w:t xml:space="preserve"> anxiety, depressive mood, irritability/agitation, hypersensitivity</w:t>
      </w:r>
    </w:p>
    <w:p w14:paraId="39E1D6E3" w14:textId="77777777" w:rsidR="003C16A1" w:rsidRPr="003C16A1" w:rsidRDefault="003C16A1" w:rsidP="003C16A1">
      <w:pPr>
        <w:widowControl w:val="0"/>
        <w:numPr>
          <w:ilvl w:val="1"/>
          <w:numId w:val="10"/>
        </w:numPr>
        <w:tabs>
          <w:tab w:val="num" w:pos="1440"/>
        </w:tabs>
        <w:autoSpaceDE w:val="0"/>
        <w:autoSpaceDN w:val="0"/>
        <w:adjustRightInd w:val="0"/>
        <w:spacing w:line="240" w:lineRule="exact"/>
        <w:jc w:val="both"/>
        <w:rPr>
          <w:spacing w:val="4"/>
          <w:sz w:val="20"/>
          <w:szCs w:val="20"/>
        </w:rPr>
      </w:pPr>
      <w:r w:rsidRPr="003C16A1">
        <w:rPr>
          <w:b/>
          <w:bCs/>
          <w:spacing w:val="4"/>
          <w:sz w:val="20"/>
          <w:szCs w:val="20"/>
        </w:rPr>
        <w:t>Behavioral:</w:t>
      </w:r>
      <w:r w:rsidRPr="003C16A1">
        <w:rPr>
          <w:spacing w:val="4"/>
          <w:sz w:val="20"/>
          <w:szCs w:val="20"/>
        </w:rPr>
        <w:t xml:space="preserve"> avoidance, repeated medical visits, overactivity → “crash,” circadian/routine disruption</w:t>
      </w:r>
    </w:p>
    <w:p w14:paraId="27FD8E25" w14:textId="5E8209AE"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spacing w:val="4"/>
          <w:sz w:val="20"/>
          <w:szCs w:val="20"/>
        </w:rPr>
        <w:t>Experimental work also illustrates pathways by which affective states can shape somatic symptom perception, supporting the proposed linkage from psychosocial input to bodily output (Petzke et al., 2024).</w:t>
      </w:r>
    </w:p>
    <w:p w14:paraId="4542E673" w14:textId="77777777" w:rsidR="003C16A1" w:rsidRPr="003C16A1" w:rsidRDefault="003C16A1" w:rsidP="003C16A1">
      <w:pPr>
        <w:widowControl w:val="0"/>
        <w:numPr>
          <w:ilvl w:val="0"/>
          <w:numId w:val="10"/>
        </w:numPr>
        <w:tabs>
          <w:tab w:val="clear" w:pos="360"/>
          <w:tab w:val="num" w:pos="720"/>
        </w:tabs>
        <w:autoSpaceDE w:val="0"/>
        <w:autoSpaceDN w:val="0"/>
        <w:adjustRightInd w:val="0"/>
        <w:spacing w:line="240" w:lineRule="exact"/>
        <w:jc w:val="both"/>
        <w:rPr>
          <w:spacing w:val="4"/>
          <w:sz w:val="20"/>
          <w:szCs w:val="20"/>
        </w:rPr>
      </w:pPr>
      <w:r w:rsidRPr="003C16A1">
        <w:rPr>
          <w:b/>
          <w:bCs/>
          <w:spacing w:val="4"/>
          <w:sz w:val="20"/>
          <w:szCs w:val="20"/>
        </w:rPr>
        <w:t>Identify amplifying loops (maintaining factors):</w:t>
      </w:r>
      <w:r w:rsidRPr="003C16A1">
        <w:rPr>
          <w:spacing w:val="4"/>
          <w:sz w:val="20"/>
          <w:szCs w:val="20"/>
        </w:rPr>
        <w:t xml:space="preserve"> rumination, anticipatory anxiety, self-monitoring (measuring/searching), avoidance, safety behaviors, sleep deprivation, excessive information intake, family/workplace interaction patterns, and medical behaviors (e.g., repetitive testing) (</w:t>
      </w:r>
      <w:proofErr w:type="spellStart"/>
      <w:r w:rsidRPr="003C16A1">
        <w:rPr>
          <w:spacing w:val="4"/>
          <w:sz w:val="20"/>
          <w:szCs w:val="20"/>
        </w:rPr>
        <w:t>Brosschot</w:t>
      </w:r>
      <w:proofErr w:type="spellEnd"/>
      <w:r w:rsidRPr="003C16A1">
        <w:rPr>
          <w:spacing w:val="4"/>
          <w:sz w:val="20"/>
          <w:szCs w:val="20"/>
        </w:rPr>
        <w:t xml:space="preserve"> et al., 2006; Deary et al., 2007).</w:t>
      </w:r>
    </w:p>
    <w:p w14:paraId="328FAEC8" w14:textId="77777777" w:rsidR="003C16A1" w:rsidRPr="003C16A1" w:rsidRDefault="003C16A1" w:rsidP="003C16A1">
      <w:pPr>
        <w:widowControl w:val="0"/>
        <w:autoSpaceDE w:val="0"/>
        <w:autoSpaceDN w:val="0"/>
        <w:adjustRightInd w:val="0"/>
        <w:spacing w:line="240" w:lineRule="exact"/>
        <w:jc w:val="both"/>
        <w:rPr>
          <w:spacing w:val="4"/>
          <w:sz w:val="20"/>
          <w:szCs w:val="20"/>
        </w:rPr>
      </w:pPr>
      <w:r w:rsidRPr="003C16A1">
        <w:rPr>
          <w:i/>
          <w:iCs/>
          <w:spacing w:val="4"/>
          <w:sz w:val="20"/>
          <w:szCs w:val="20"/>
        </w:rPr>
        <w:t>Note:</w:t>
      </w:r>
      <w:r w:rsidRPr="003C16A1">
        <w:rPr>
          <w:spacing w:val="4"/>
          <w:sz w:val="20"/>
          <w:szCs w:val="20"/>
        </w:rPr>
        <w:t xml:space="preserve"> A detailed checklist of maintaining factors will be provided in Review 4 (based on existing literature). Review 3 will focus on the </w:t>
      </w:r>
      <w:r w:rsidRPr="003C16A1">
        <w:rPr>
          <w:b/>
          <w:bCs/>
          <w:spacing w:val="4"/>
          <w:sz w:val="20"/>
          <w:szCs w:val="20"/>
        </w:rPr>
        <w:t>loop concept</w:t>
      </w:r>
      <w:r w:rsidRPr="003C16A1">
        <w:rPr>
          <w:spacing w:val="4"/>
          <w:sz w:val="20"/>
          <w:szCs w:val="20"/>
        </w:rPr>
        <w:t xml:space="preserve"> and </w:t>
      </w:r>
      <w:r w:rsidRPr="003C16A1">
        <w:rPr>
          <w:b/>
          <w:bCs/>
          <w:spacing w:val="4"/>
          <w:sz w:val="20"/>
          <w:szCs w:val="20"/>
        </w:rPr>
        <w:t>implementation steps</w:t>
      </w:r>
      <w:r w:rsidRPr="003C16A1">
        <w:rPr>
          <w:spacing w:val="4"/>
          <w:sz w:val="20"/>
          <w:szCs w:val="20"/>
        </w:rPr>
        <w:t>.</w:t>
      </w:r>
    </w:p>
    <w:p w14:paraId="2758944E" w14:textId="77777777" w:rsidR="003C16A1" w:rsidRDefault="003C16A1" w:rsidP="003C16A1">
      <w:pPr>
        <w:widowControl w:val="0"/>
        <w:autoSpaceDE w:val="0"/>
        <w:autoSpaceDN w:val="0"/>
        <w:adjustRightInd w:val="0"/>
        <w:spacing w:line="240" w:lineRule="exact"/>
        <w:jc w:val="both"/>
        <w:rPr>
          <w:spacing w:val="4"/>
          <w:sz w:val="20"/>
          <w:szCs w:val="20"/>
        </w:rPr>
      </w:pPr>
    </w:p>
    <w:p w14:paraId="52D05AD8" w14:textId="469C0098" w:rsidR="003C16A1" w:rsidRPr="000D3901" w:rsidRDefault="003C16A1" w:rsidP="000D3901">
      <w:pPr>
        <w:widowControl w:val="0"/>
        <w:autoSpaceDE w:val="0"/>
        <w:autoSpaceDN w:val="0"/>
        <w:adjustRightInd w:val="0"/>
        <w:spacing w:line="240" w:lineRule="exact"/>
        <w:ind w:firstLine="274"/>
        <w:jc w:val="both"/>
        <w:rPr>
          <w:spacing w:val="4"/>
          <w:sz w:val="20"/>
          <w:szCs w:val="20"/>
        </w:rPr>
      </w:pPr>
    </w:p>
    <w:p w14:paraId="3A5B9402" w14:textId="77777777" w:rsidR="003A2CB7" w:rsidRDefault="003A2CB7" w:rsidP="003A2CB7">
      <w:pPr>
        <w:widowControl w:val="0"/>
        <w:autoSpaceDE w:val="0"/>
        <w:autoSpaceDN w:val="0"/>
        <w:adjustRightInd w:val="0"/>
        <w:spacing w:before="240" w:after="120"/>
        <w:jc w:val="both"/>
        <w:rPr>
          <w:b/>
          <w:bCs/>
          <w:spacing w:val="4"/>
          <w:sz w:val="20"/>
          <w:szCs w:val="20"/>
        </w:rPr>
      </w:pPr>
    </w:p>
    <w:p w14:paraId="04D9D689" w14:textId="35E55787" w:rsidR="003A2CB7" w:rsidRPr="003A2CB7" w:rsidRDefault="003A2CB7" w:rsidP="003A2CB7">
      <w:pPr>
        <w:widowControl w:val="0"/>
        <w:autoSpaceDE w:val="0"/>
        <w:autoSpaceDN w:val="0"/>
        <w:adjustRightInd w:val="0"/>
        <w:spacing w:before="240" w:after="120"/>
        <w:jc w:val="both"/>
        <w:rPr>
          <w:spacing w:val="4"/>
          <w:sz w:val="20"/>
          <w:szCs w:val="20"/>
        </w:rPr>
      </w:pPr>
      <w:r w:rsidRPr="003A2CB7">
        <w:rPr>
          <w:b/>
          <w:bCs/>
          <w:spacing w:val="4"/>
          <w:sz w:val="20"/>
          <w:szCs w:val="20"/>
        </w:rPr>
        <w:t>Figure 3. Clinical Implementation Flow: Handling “Normal Test Results”.</w:t>
      </w:r>
      <w:r w:rsidRPr="003A2CB7">
        <w:rPr>
          <w:spacing w:val="4"/>
          <w:sz w:val="20"/>
          <w:szCs w:val="20"/>
        </w:rPr>
        <w:t xml:space="preserve"> This figure presents a stepwise clinical implementation algorithm for patients presenting with persistent physical symptoms. When red flags or acute worsening are present, evaluation and treatment of possible organic disease should take priority. When minimal necessary physical assessment does not indicate an urgent organic condition, the clinician proceeds to a three-layer assessment of input, output, and amplification loops, and initiates focused intervention based on whether physical burden, psychosocial stressors, or both are predominant. The goal is not necessarily complete symptom elimination, but interruption of self-amplifying loops and restoration of daily functioning.</w:t>
      </w:r>
    </w:p>
    <w:p w14:paraId="340E6C59" w14:textId="77777777" w:rsidR="003A2CB7" w:rsidRPr="003A2CB7" w:rsidRDefault="003A2CB7" w:rsidP="003A2CB7">
      <w:pPr>
        <w:widowControl w:val="0"/>
        <w:autoSpaceDE w:val="0"/>
        <w:autoSpaceDN w:val="0"/>
        <w:adjustRightInd w:val="0"/>
        <w:spacing w:before="240" w:after="120"/>
        <w:rPr>
          <w:b/>
          <w:bCs/>
          <w:spacing w:val="4"/>
          <w:sz w:val="20"/>
          <w:szCs w:val="20"/>
        </w:rPr>
      </w:pPr>
      <w:r w:rsidRPr="003A2CB7">
        <w:rPr>
          <w:b/>
          <w:bCs/>
          <w:spacing w:val="4"/>
          <w:sz w:val="20"/>
          <w:szCs w:val="20"/>
        </w:rPr>
        <w:t>4.4. Principles of Intervention: Reduce Input, Calm Output, and Break the Loops</w:t>
      </w:r>
    </w:p>
    <w:p w14:paraId="285F5971" w14:textId="77777777" w:rsidR="003A2CB7" w:rsidRPr="003A2CB7" w:rsidRDefault="003A2CB7" w:rsidP="003A2CB7">
      <w:pPr>
        <w:widowControl w:val="0"/>
        <w:autoSpaceDE w:val="0"/>
        <w:autoSpaceDN w:val="0"/>
        <w:adjustRightInd w:val="0"/>
        <w:rPr>
          <w:spacing w:val="4"/>
          <w:sz w:val="20"/>
          <w:szCs w:val="20"/>
        </w:rPr>
      </w:pPr>
      <w:r w:rsidRPr="003A2CB7">
        <w:rPr>
          <w:spacing w:val="4"/>
          <w:sz w:val="20"/>
          <w:szCs w:val="20"/>
        </w:rPr>
        <w:t>Intervention for Brain Overwork Syndrome is an integrative strategy combining:</w:t>
      </w:r>
      <w:r w:rsidRPr="003A2CB7">
        <w:rPr>
          <w:spacing w:val="4"/>
          <w:sz w:val="20"/>
          <w:szCs w:val="20"/>
        </w:rPr>
        <w:br/>
        <w:t>(1) adjustment of psychosocial inputs, (2) calming outputs (protecting function and safety), and (3) interrupting amplifying loops.</w:t>
      </w:r>
    </w:p>
    <w:p w14:paraId="6CF705FC" w14:textId="77777777" w:rsidR="003A2CB7" w:rsidRPr="003A2CB7" w:rsidRDefault="003A2CB7" w:rsidP="003A2CB7">
      <w:pPr>
        <w:widowControl w:val="0"/>
        <w:numPr>
          <w:ilvl w:val="0"/>
          <w:numId w:val="11"/>
        </w:numPr>
        <w:tabs>
          <w:tab w:val="clear" w:pos="360"/>
          <w:tab w:val="num" w:pos="720"/>
        </w:tabs>
        <w:autoSpaceDE w:val="0"/>
        <w:autoSpaceDN w:val="0"/>
        <w:adjustRightInd w:val="0"/>
        <w:rPr>
          <w:spacing w:val="4"/>
          <w:sz w:val="20"/>
          <w:szCs w:val="20"/>
        </w:rPr>
      </w:pPr>
      <w:r w:rsidRPr="003A2CB7">
        <w:rPr>
          <w:b/>
          <w:bCs/>
          <w:spacing w:val="4"/>
          <w:sz w:val="20"/>
          <w:szCs w:val="20"/>
        </w:rPr>
        <w:t>Intervening on psychosocial inputs:</w:t>
      </w:r>
      <w:r w:rsidRPr="003A2CB7">
        <w:rPr>
          <w:spacing w:val="4"/>
          <w:sz w:val="20"/>
          <w:szCs w:val="20"/>
        </w:rPr>
        <w:t xml:space="preserve"> inventorying burdens and setting priorities, role adjustment, interpersonal support, setting boundaries for information intake, ensuring rest and recovery time.</w:t>
      </w:r>
    </w:p>
    <w:p w14:paraId="5BAD8EC1" w14:textId="77777777" w:rsidR="003A2CB7" w:rsidRPr="003A2CB7" w:rsidRDefault="003A2CB7" w:rsidP="003A2CB7">
      <w:pPr>
        <w:widowControl w:val="0"/>
        <w:numPr>
          <w:ilvl w:val="0"/>
          <w:numId w:val="11"/>
        </w:numPr>
        <w:tabs>
          <w:tab w:val="clear" w:pos="360"/>
          <w:tab w:val="num" w:pos="720"/>
        </w:tabs>
        <w:autoSpaceDE w:val="0"/>
        <w:autoSpaceDN w:val="0"/>
        <w:adjustRightInd w:val="0"/>
        <w:rPr>
          <w:spacing w:val="4"/>
          <w:sz w:val="20"/>
          <w:szCs w:val="20"/>
        </w:rPr>
      </w:pPr>
      <w:r w:rsidRPr="003A2CB7">
        <w:rPr>
          <w:b/>
          <w:bCs/>
          <w:spacing w:val="4"/>
          <w:sz w:val="20"/>
          <w:szCs w:val="20"/>
        </w:rPr>
        <w:t>Intervening on outputs:</w:t>
      </w:r>
      <w:r w:rsidRPr="003A2CB7">
        <w:rPr>
          <w:spacing w:val="4"/>
          <w:sz w:val="20"/>
          <w:szCs w:val="20"/>
        </w:rPr>
        <w:t xml:space="preserve"> when symptoms that impair daily functioning are prominent (e.g., insomnia, pain, severe palpitations), use short-term symptomatic treatment to secure safety while calming hyperarousal. Pharmacotherapy </w:t>
      </w:r>
      <w:r w:rsidRPr="003A2CB7">
        <w:rPr>
          <w:spacing w:val="4"/>
          <w:sz w:val="20"/>
          <w:szCs w:val="20"/>
        </w:rPr>
        <w:lastRenderedPageBreak/>
        <w:t xml:space="preserve">should be positioned as an “auxiliary brake,” and it should be shared early that dose reduction can be considered once sleep/rest recover and self-regulation </w:t>
      </w:r>
      <w:proofErr w:type="gramStart"/>
      <w:r w:rsidRPr="003A2CB7">
        <w:rPr>
          <w:spacing w:val="4"/>
          <w:sz w:val="20"/>
          <w:szCs w:val="20"/>
        </w:rPr>
        <w:t>improves</w:t>
      </w:r>
      <w:proofErr w:type="gramEnd"/>
      <w:r w:rsidRPr="003A2CB7">
        <w:rPr>
          <w:spacing w:val="4"/>
          <w:sz w:val="20"/>
          <w:szCs w:val="20"/>
        </w:rPr>
        <w:t xml:space="preserve"> (Trauer et al., 2015; Harvey, 2002).</w:t>
      </w:r>
    </w:p>
    <w:p w14:paraId="2C4A65D8" w14:textId="77777777" w:rsidR="003A2CB7" w:rsidRPr="003A2CB7" w:rsidRDefault="003A2CB7" w:rsidP="003A2CB7">
      <w:pPr>
        <w:widowControl w:val="0"/>
        <w:numPr>
          <w:ilvl w:val="0"/>
          <w:numId w:val="11"/>
        </w:numPr>
        <w:tabs>
          <w:tab w:val="clear" w:pos="360"/>
          <w:tab w:val="num" w:pos="720"/>
        </w:tabs>
        <w:autoSpaceDE w:val="0"/>
        <w:autoSpaceDN w:val="0"/>
        <w:adjustRightInd w:val="0"/>
        <w:rPr>
          <w:spacing w:val="4"/>
          <w:sz w:val="20"/>
          <w:szCs w:val="20"/>
        </w:rPr>
      </w:pPr>
      <w:r w:rsidRPr="003A2CB7">
        <w:rPr>
          <w:b/>
          <w:bCs/>
          <w:spacing w:val="4"/>
          <w:sz w:val="20"/>
          <w:szCs w:val="20"/>
        </w:rPr>
        <w:t>Intervening on amplifying loops:</w:t>
      </w:r>
      <w:r w:rsidRPr="003A2CB7">
        <w:rPr>
          <w:spacing w:val="4"/>
          <w:sz w:val="20"/>
          <w:szCs w:val="20"/>
        </w:rPr>
        <w:t xml:space="preserve"> incorporate strategies targeting rumination (attention shifting, scheduled “worry time,” distancing/</w:t>
      </w:r>
      <w:proofErr w:type="spellStart"/>
      <w:r w:rsidRPr="003A2CB7">
        <w:rPr>
          <w:spacing w:val="4"/>
          <w:sz w:val="20"/>
          <w:szCs w:val="20"/>
        </w:rPr>
        <w:t>defusion</w:t>
      </w:r>
      <w:proofErr w:type="spellEnd"/>
      <w:r w:rsidRPr="003A2CB7">
        <w:rPr>
          <w:spacing w:val="4"/>
          <w:sz w:val="20"/>
          <w:szCs w:val="20"/>
        </w:rPr>
        <w:t>), avoidance (graded exposure, behavioral activation), calibrating self-monitoring, and reorganizing healthcare behaviors (reducing repetitive testing and strengthening explanatory frameworks) (Deary et al., 2007; Kroenke, 2007).</w:t>
      </w:r>
    </w:p>
    <w:p w14:paraId="21CA8395" w14:textId="7607B86E" w:rsidR="003A2CB7" w:rsidRDefault="003A2CB7" w:rsidP="003A2CB7">
      <w:pPr>
        <w:widowControl w:val="0"/>
        <w:autoSpaceDE w:val="0"/>
        <w:autoSpaceDN w:val="0"/>
        <w:adjustRightInd w:val="0"/>
        <w:rPr>
          <w:spacing w:val="4"/>
          <w:sz w:val="20"/>
          <w:szCs w:val="20"/>
        </w:rPr>
      </w:pPr>
      <w:r w:rsidRPr="003A2CB7">
        <w:rPr>
          <w:spacing w:val="4"/>
          <w:sz w:val="20"/>
          <w:szCs w:val="20"/>
        </w:rPr>
        <w:t xml:space="preserve">Even in mixed cases (with comorbid physical factors), if psychosocially driven loops are active, correcting physical factors alone may be insufficient. Thus, an implementation key point is to design </w:t>
      </w:r>
      <w:r w:rsidRPr="003A2CB7">
        <w:rPr>
          <w:b/>
          <w:bCs/>
          <w:spacing w:val="4"/>
          <w:sz w:val="20"/>
          <w:szCs w:val="20"/>
        </w:rPr>
        <w:t>“physical assessment + psychosocial loop intervention”</w:t>
      </w:r>
      <w:r w:rsidRPr="003A2CB7">
        <w:rPr>
          <w:spacing w:val="4"/>
          <w:sz w:val="20"/>
          <w:szCs w:val="20"/>
        </w:rPr>
        <w:t xml:space="preserve"> in parallel.</w:t>
      </w:r>
    </w:p>
    <w:p w14:paraId="7234EB41" w14:textId="0E83F8C4" w:rsidR="003A2CB7" w:rsidRDefault="003A2CB7" w:rsidP="003A2CB7">
      <w:pPr>
        <w:widowControl w:val="0"/>
        <w:autoSpaceDE w:val="0"/>
        <w:autoSpaceDN w:val="0"/>
        <w:adjustRightInd w:val="0"/>
        <w:rPr>
          <w:spacing w:val="4"/>
          <w:sz w:val="20"/>
          <w:szCs w:val="20"/>
        </w:rPr>
      </w:pPr>
      <w:r>
        <w:rPr>
          <w:noProof/>
          <w:spacing w:val="4"/>
          <w:sz w:val="20"/>
          <w:szCs w:val="20"/>
        </w:rPr>
        <w:drawing>
          <wp:inline distT="0" distB="0" distL="0" distR="0" wp14:anchorId="77EB3EC2" wp14:editId="3070B715">
            <wp:extent cx="2916555" cy="2232025"/>
            <wp:effectExtent l="0" t="0" r="0" b="0"/>
            <wp:docPr id="4144094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09407" name="Picture 414409407"/>
                    <pic:cNvPicPr/>
                  </pic:nvPicPr>
                  <pic:blipFill>
                    <a:blip r:embed="rId15"/>
                    <a:stretch>
                      <a:fillRect/>
                    </a:stretch>
                  </pic:blipFill>
                  <pic:spPr>
                    <a:xfrm>
                      <a:off x="0" y="0"/>
                      <a:ext cx="2916555" cy="2232025"/>
                    </a:xfrm>
                    <a:prstGeom prst="rect">
                      <a:avLst/>
                    </a:prstGeom>
                  </pic:spPr>
                </pic:pic>
              </a:graphicData>
            </a:graphic>
          </wp:inline>
        </w:drawing>
      </w:r>
    </w:p>
    <w:p w14:paraId="611E76FC" w14:textId="77777777" w:rsidR="003A2CB7" w:rsidRDefault="003A2CB7" w:rsidP="003A2CB7">
      <w:pPr>
        <w:widowControl w:val="0"/>
        <w:autoSpaceDE w:val="0"/>
        <w:autoSpaceDN w:val="0"/>
        <w:adjustRightInd w:val="0"/>
        <w:rPr>
          <w:spacing w:val="4"/>
          <w:sz w:val="20"/>
          <w:szCs w:val="20"/>
        </w:rPr>
      </w:pPr>
    </w:p>
    <w:p w14:paraId="1754EB6D" w14:textId="0CAA89F8" w:rsidR="003A2CB7" w:rsidRDefault="003A2CB7" w:rsidP="003A2CB7">
      <w:pPr>
        <w:widowControl w:val="0"/>
        <w:autoSpaceDE w:val="0"/>
        <w:autoSpaceDN w:val="0"/>
        <w:adjustRightInd w:val="0"/>
        <w:rPr>
          <w:spacing w:val="4"/>
          <w:sz w:val="20"/>
          <w:szCs w:val="20"/>
        </w:rPr>
      </w:pPr>
      <w:r w:rsidRPr="003A2CB7">
        <w:rPr>
          <w:b/>
          <w:bCs/>
          <w:spacing w:val="4"/>
          <w:sz w:val="20"/>
          <w:szCs w:val="20"/>
        </w:rPr>
        <w:t>Figure 4. Clinical treatment flow for physical and/or psychological stressor-induced symptoms.</w:t>
      </w:r>
      <w:r w:rsidRPr="003A2CB7">
        <w:rPr>
          <w:spacing w:val="4"/>
          <w:sz w:val="20"/>
          <w:szCs w:val="20"/>
        </w:rPr>
        <w:br/>
        <w:t xml:space="preserve">A key step in management is to assess whether symptoms are driven mainly by physical factors, psychological factors, or both, and to direct treatment toward those relevant inputs. The treatment strategy consists of three major components: </w:t>
      </w:r>
      <w:r w:rsidRPr="003A2CB7">
        <w:rPr>
          <w:b/>
          <w:bCs/>
          <w:spacing w:val="4"/>
          <w:sz w:val="20"/>
          <w:szCs w:val="20"/>
        </w:rPr>
        <w:t>(1)</w:t>
      </w:r>
      <w:r w:rsidRPr="003A2CB7">
        <w:rPr>
          <w:spacing w:val="4"/>
          <w:sz w:val="20"/>
          <w:szCs w:val="20"/>
        </w:rPr>
        <w:t xml:space="preserve"> reduction of harmful physical and/or psychosocial inputs, </w:t>
      </w:r>
      <w:r w:rsidRPr="003A2CB7">
        <w:rPr>
          <w:b/>
          <w:bCs/>
          <w:spacing w:val="4"/>
          <w:sz w:val="20"/>
          <w:szCs w:val="20"/>
        </w:rPr>
        <w:t>(2)</w:t>
      </w:r>
      <w:r w:rsidRPr="003A2CB7">
        <w:rPr>
          <w:spacing w:val="4"/>
          <w:sz w:val="20"/>
          <w:szCs w:val="20"/>
        </w:rPr>
        <w:t xml:space="preserve"> maintenance of homeostasis through selectable methods, including pharmacotherapy, surgery, rehabilitation, psychotherapy, nutritional therapy, and other indicated therapies, and </w:t>
      </w:r>
      <w:r w:rsidRPr="003A2CB7">
        <w:rPr>
          <w:b/>
          <w:bCs/>
          <w:spacing w:val="4"/>
          <w:sz w:val="20"/>
          <w:szCs w:val="20"/>
        </w:rPr>
        <w:t>(3)</w:t>
      </w:r>
      <w:r w:rsidRPr="003A2CB7">
        <w:rPr>
          <w:spacing w:val="4"/>
          <w:sz w:val="20"/>
          <w:szCs w:val="20"/>
        </w:rPr>
        <w:t xml:space="preserve"> medical education and Body–Driver (Coro Heart) development, including self-monitoring, eating behavior, sleep hygiene, physical activity, rest and recovery, stress management, and limiting brain overuse. In addition to improving </w:t>
      </w:r>
      <w:r w:rsidRPr="003A2CB7">
        <w:rPr>
          <w:b/>
          <w:bCs/>
          <w:spacing w:val="4"/>
          <w:sz w:val="20"/>
          <w:szCs w:val="20"/>
        </w:rPr>
        <w:t>(1)</w:t>
      </w:r>
      <w:r w:rsidRPr="003A2CB7">
        <w:rPr>
          <w:spacing w:val="4"/>
          <w:sz w:val="20"/>
          <w:szCs w:val="20"/>
        </w:rPr>
        <w:t xml:space="preserve"> and </w:t>
      </w:r>
      <w:r w:rsidRPr="003A2CB7">
        <w:rPr>
          <w:b/>
          <w:bCs/>
          <w:spacing w:val="4"/>
          <w:sz w:val="20"/>
          <w:szCs w:val="20"/>
        </w:rPr>
        <w:t>(2)</w:t>
      </w:r>
      <w:r w:rsidRPr="003A2CB7">
        <w:rPr>
          <w:spacing w:val="4"/>
          <w:sz w:val="20"/>
          <w:szCs w:val="20"/>
        </w:rPr>
        <w:t xml:space="preserve">, component </w:t>
      </w:r>
      <w:r w:rsidRPr="003A2CB7">
        <w:rPr>
          <w:b/>
          <w:bCs/>
          <w:spacing w:val="4"/>
          <w:sz w:val="20"/>
          <w:szCs w:val="20"/>
        </w:rPr>
        <w:t>(3)</w:t>
      </w:r>
      <w:r w:rsidRPr="003A2CB7">
        <w:rPr>
          <w:spacing w:val="4"/>
          <w:sz w:val="20"/>
          <w:szCs w:val="20"/>
        </w:rPr>
        <w:t xml:space="preserve"> should also be incorporated into clinical care. If management is challenging, multidisciplinary collaboration is recommended.</w:t>
      </w:r>
    </w:p>
    <w:p w14:paraId="485E8443" w14:textId="77777777" w:rsidR="003A2CB7" w:rsidRDefault="003A2CB7" w:rsidP="003A2CB7">
      <w:pPr>
        <w:widowControl w:val="0"/>
        <w:autoSpaceDE w:val="0"/>
        <w:autoSpaceDN w:val="0"/>
        <w:adjustRightInd w:val="0"/>
        <w:rPr>
          <w:spacing w:val="4"/>
          <w:sz w:val="20"/>
          <w:szCs w:val="20"/>
        </w:rPr>
      </w:pPr>
    </w:p>
    <w:p w14:paraId="664BD611" w14:textId="77777777" w:rsidR="003A2CB7" w:rsidRPr="003A2CB7" w:rsidRDefault="003A2CB7" w:rsidP="003A2CB7">
      <w:pPr>
        <w:widowControl w:val="0"/>
        <w:autoSpaceDE w:val="0"/>
        <w:autoSpaceDN w:val="0"/>
        <w:adjustRightInd w:val="0"/>
        <w:rPr>
          <w:b/>
          <w:bCs/>
          <w:spacing w:val="4"/>
          <w:sz w:val="20"/>
          <w:szCs w:val="20"/>
        </w:rPr>
      </w:pPr>
      <w:r w:rsidRPr="003A2CB7">
        <w:rPr>
          <w:b/>
          <w:bCs/>
          <w:spacing w:val="4"/>
          <w:sz w:val="20"/>
          <w:szCs w:val="20"/>
        </w:rPr>
        <w:t>4.5. “Explanation” Itself as Treatment: From Normal Tests to an Acceptable Mechanism Model</w:t>
      </w:r>
    </w:p>
    <w:p w14:paraId="06603FAB" w14:textId="77777777" w:rsidR="003A2CB7" w:rsidRPr="003A2CB7" w:rsidRDefault="003A2CB7" w:rsidP="003A2CB7">
      <w:pPr>
        <w:widowControl w:val="0"/>
        <w:autoSpaceDE w:val="0"/>
        <w:autoSpaceDN w:val="0"/>
        <w:adjustRightInd w:val="0"/>
        <w:rPr>
          <w:spacing w:val="4"/>
          <w:sz w:val="20"/>
          <w:szCs w:val="20"/>
        </w:rPr>
      </w:pPr>
      <w:r w:rsidRPr="003A2CB7">
        <w:rPr>
          <w:spacing w:val="4"/>
          <w:sz w:val="20"/>
          <w:szCs w:val="20"/>
        </w:rPr>
        <w:t>Scalable psychoeducational resources for persistent bodily symptoms have also been evaluated after implementation, highlighting the feasibility of delivering ‘explanation-as-treatment’ at scale (Saunders et al., 2026).</w:t>
      </w:r>
    </w:p>
    <w:p w14:paraId="35772F68" w14:textId="77777777" w:rsidR="003A2CB7" w:rsidRPr="003A2CB7" w:rsidRDefault="003A2CB7" w:rsidP="003A2CB7">
      <w:pPr>
        <w:widowControl w:val="0"/>
        <w:autoSpaceDE w:val="0"/>
        <w:autoSpaceDN w:val="0"/>
        <w:adjustRightInd w:val="0"/>
        <w:rPr>
          <w:spacing w:val="4"/>
          <w:sz w:val="20"/>
          <w:szCs w:val="20"/>
        </w:rPr>
      </w:pPr>
      <w:r w:rsidRPr="003A2CB7">
        <w:rPr>
          <w:spacing w:val="4"/>
          <w:sz w:val="20"/>
          <w:szCs w:val="20"/>
        </w:rPr>
        <w:t>In this clinical domain, explanation is not merely informed consent; it is a core therapeutic component. If patients remain stuck in the contradiction</w:t>
      </w:r>
      <w:proofErr w:type="gramStart"/>
      <w:r w:rsidRPr="003A2CB7">
        <w:rPr>
          <w:spacing w:val="4"/>
          <w:sz w:val="20"/>
          <w:szCs w:val="20"/>
        </w:rPr>
        <w:t>—“</w:t>
      </w:r>
      <w:proofErr w:type="gramEnd"/>
      <w:r w:rsidRPr="003A2CB7">
        <w:rPr>
          <w:spacing w:val="4"/>
          <w:sz w:val="20"/>
          <w:szCs w:val="20"/>
        </w:rPr>
        <w:t>I have symptoms, yet tests are normal”—anxiety and self-monitoring increase, hyperarousal intensifies, and symptoms more readily self-amplify. Explaining the Brain Overwork Syndrome framework—</w:t>
      </w:r>
      <w:r w:rsidRPr="003A2CB7">
        <w:rPr>
          <w:b/>
          <w:bCs/>
          <w:spacing w:val="4"/>
          <w:sz w:val="20"/>
          <w:szCs w:val="20"/>
        </w:rPr>
        <w:t>psychosocial input → brain overwork → (physical + psychological) outputs → re-input</w:t>
      </w:r>
      <w:r w:rsidRPr="003A2CB7">
        <w:rPr>
          <w:spacing w:val="4"/>
          <w:sz w:val="20"/>
          <w:szCs w:val="20"/>
        </w:rPr>
        <w:t>—and translating it into concrete daily strategies (sleep, rest, information, behavior) can restore self-efficacy and reduce test dependence and repeated consultations (Stone et al., 2005; Henningsen et al., 2007).</w:t>
      </w:r>
    </w:p>
    <w:p w14:paraId="386269AC" w14:textId="77777777" w:rsidR="003A2CB7" w:rsidRPr="003A2CB7" w:rsidRDefault="003A2CB7" w:rsidP="003A2CB7">
      <w:pPr>
        <w:widowControl w:val="0"/>
        <w:autoSpaceDE w:val="0"/>
        <w:autoSpaceDN w:val="0"/>
        <w:adjustRightInd w:val="0"/>
        <w:rPr>
          <w:b/>
          <w:bCs/>
          <w:spacing w:val="4"/>
          <w:sz w:val="20"/>
          <w:szCs w:val="20"/>
        </w:rPr>
      </w:pPr>
      <w:r w:rsidRPr="003A2CB7">
        <w:rPr>
          <w:b/>
          <w:bCs/>
          <w:spacing w:val="4"/>
          <w:sz w:val="20"/>
          <w:szCs w:val="20"/>
        </w:rPr>
        <w:t>The “Brain Marathon” Metaphor: Communicating Diverse Symptoms and Recovery Strategies Simultaneously</w:t>
      </w:r>
    </w:p>
    <w:p w14:paraId="327CAA80" w14:textId="77777777" w:rsidR="003A2CB7" w:rsidRPr="003A2CB7" w:rsidRDefault="003A2CB7" w:rsidP="003A2CB7">
      <w:pPr>
        <w:widowControl w:val="0"/>
        <w:autoSpaceDE w:val="0"/>
        <w:autoSpaceDN w:val="0"/>
        <w:adjustRightInd w:val="0"/>
        <w:rPr>
          <w:spacing w:val="4"/>
          <w:sz w:val="20"/>
          <w:szCs w:val="20"/>
        </w:rPr>
      </w:pPr>
      <w:r w:rsidRPr="003A2CB7">
        <w:rPr>
          <w:spacing w:val="4"/>
          <w:sz w:val="20"/>
          <w:szCs w:val="20"/>
        </w:rPr>
        <w:t xml:space="preserve">As a metaphor for patient communication, a </w:t>
      </w:r>
      <w:r w:rsidRPr="003A2CB7">
        <w:rPr>
          <w:b/>
          <w:bCs/>
          <w:spacing w:val="4"/>
          <w:sz w:val="20"/>
          <w:szCs w:val="20"/>
        </w:rPr>
        <w:t>“brain marathon”</w:t>
      </w:r>
      <w:r w:rsidRPr="003A2CB7">
        <w:rPr>
          <w:spacing w:val="4"/>
          <w:sz w:val="20"/>
          <w:szCs w:val="20"/>
        </w:rPr>
        <w:t xml:space="preserve"> can be useful. After a marathon, a wide range of cross-organ reactions may occur—fatigue and malaise, breathlessness, palpitations, muscle pain, shallow sleep, and persistent arousal—yet these are intuitively understood as </w:t>
      </w:r>
      <w:r w:rsidRPr="003A2CB7">
        <w:rPr>
          <w:b/>
          <w:bCs/>
          <w:spacing w:val="4"/>
          <w:sz w:val="20"/>
          <w:szCs w:val="20"/>
        </w:rPr>
        <w:t>physiological responses to overuse</w:t>
      </w:r>
      <w:r w:rsidRPr="003A2CB7">
        <w:rPr>
          <w:spacing w:val="4"/>
          <w:sz w:val="20"/>
          <w:szCs w:val="20"/>
        </w:rPr>
        <w:t>. Similarly, “overuse” of the brain under psychosocial load—though less visible externally—can manifest as difficulty disengaging, hypersensitivity, insomnia, and autonomic-mediated physical symptoms.</w:t>
      </w:r>
    </w:p>
    <w:p w14:paraId="73A5C11F" w14:textId="77777777" w:rsidR="003A2CB7" w:rsidRPr="003A2CB7" w:rsidRDefault="003A2CB7" w:rsidP="003A2CB7">
      <w:pPr>
        <w:widowControl w:val="0"/>
        <w:autoSpaceDE w:val="0"/>
        <w:autoSpaceDN w:val="0"/>
        <w:adjustRightInd w:val="0"/>
        <w:rPr>
          <w:spacing w:val="4"/>
          <w:sz w:val="20"/>
          <w:szCs w:val="20"/>
        </w:rPr>
      </w:pPr>
      <w:r w:rsidRPr="003A2CB7">
        <w:rPr>
          <w:spacing w:val="4"/>
          <w:sz w:val="20"/>
          <w:szCs w:val="20"/>
        </w:rPr>
        <w:t xml:space="preserve">This metaphor conveys both the </w:t>
      </w:r>
      <w:r w:rsidRPr="003A2CB7">
        <w:rPr>
          <w:b/>
          <w:bCs/>
          <w:spacing w:val="4"/>
          <w:sz w:val="20"/>
          <w:szCs w:val="20"/>
        </w:rPr>
        <w:t>diversity of symptoms</w:t>
      </w:r>
      <w:r w:rsidRPr="003A2CB7">
        <w:rPr>
          <w:spacing w:val="4"/>
          <w:sz w:val="20"/>
          <w:szCs w:val="20"/>
        </w:rPr>
        <w:t xml:space="preserve"> and the </w:t>
      </w:r>
      <w:r w:rsidRPr="003A2CB7">
        <w:rPr>
          <w:b/>
          <w:bCs/>
          <w:spacing w:val="4"/>
          <w:sz w:val="20"/>
          <w:szCs w:val="20"/>
        </w:rPr>
        <w:t>necessity of rest and load adjustment</w:t>
      </w:r>
      <w:r w:rsidRPr="003A2CB7">
        <w:rPr>
          <w:spacing w:val="4"/>
          <w:sz w:val="20"/>
          <w:szCs w:val="20"/>
        </w:rPr>
        <w:t>, supporting the de-escalation of self-amplifying loops (symptoms → anxiety → worsening symptoms) and strengthening the therapeutic alliance.</w:t>
      </w:r>
    </w:p>
    <w:p w14:paraId="3776C5B5" w14:textId="77777777" w:rsidR="003A2CB7" w:rsidRPr="003A2CB7" w:rsidRDefault="003A2CB7" w:rsidP="003A2CB7">
      <w:pPr>
        <w:widowControl w:val="0"/>
        <w:autoSpaceDE w:val="0"/>
        <w:autoSpaceDN w:val="0"/>
        <w:adjustRightInd w:val="0"/>
        <w:rPr>
          <w:spacing w:val="4"/>
          <w:sz w:val="20"/>
          <w:szCs w:val="20"/>
        </w:rPr>
      </w:pPr>
    </w:p>
    <w:p w14:paraId="628B7E3A" w14:textId="77777777" w:rsidR="003A2CB7" w:rsidRPr="003A2CB7" w:rsidRDefault="003A2CB7" w:rsidP="003A2CB7">
      <w:pPr>
        <w:widowControl w:val="0"/>
        <w:autoSpaceDE w:val="0"/>
        <w:autoSpaceDN w:val="0"/>
        <w:adjustRightInd w:val="0"/>
        <w:rPr>
          <w:b/>
          <w:bCs/>
          <w:spacing w:val="4"/>
          <w:sz w:val="20"/>
          <w:szCs w:val="20"/>
        </w:rPr>
      </w:pPr>
      <w:r w:rsidRPr="003A2CB7">
        <w:rPr>
          <w:b/>
          <w:bCs/>
          <w:spacing w:val="4"/>
          <w:sz w:val="20"/>
          <w:szCs w:val="20"/>
        </w:rPr>
        <w:t>5. Conclusions and Future Directions</w:t>
      </w:r>
    </w:p>
    <w:p w14:paraId="1C76703B" w14:textId="77777777" w:rsidR="003A2CB7" w:rsidRPr="003A2CB7" w:rsidRDefault="003A2CB7" w:rsidP="003A2CB7">
      <w:pPr>
        <w:widowControl w:val="0"/>
        <w:autoSpaceDE w:val="0"/>
        <w:autoSpaceDN w:val="0"/>
        <w:adjustRightInd w:val="0"/>
        <w:rPr>
          <w:spacing w:val="4"/>
          <w:sz w:val="20"/>
          <w:szCs w:val="20"/>
        </w:rPr>
      </w:pPr>
      <w:r w:rsidRPr="003A2CB7">
        <w:rPr>
          <w:spacing w:val="4"/>
          <w:sz w:val="20"/>
          <w:szCs w:val="20"/>
        </w:rPr>
        <w:t xml:space="preserve">In everyday clinical practice, many patients report physical symptoms that remain difficult to explain clearly even after appropriate history-taking, examination, and testing. While safety evaluation and exclusion of organic disease are indispensable, ending the encounter with “no abnormal findings” can leave an explanatory void. This void may heighten uncertainty, leading to increased anxiety, self-monitoring, avoidance, and repeated medical visits, thereby placing the patient on a trajectory toward chronicity. Contemporary clinical practice still lacks a practical conceptual framework—a </w:t>
      </w:r>
      <w:r w:rsidRPr="003A2CB7">
        <w:rPr>
          <w:b/>
          <w:bCs/>
          <w:spacing w:val="4"/>
          <w:sz w:val="20"/>
          <w:szCs w:val="20"/>
        </w:rPr>
        <w:t>usable mechanistic model</w:t>
      </w:r>
      <w:r w:rsidRPr="003A2CB7">
        <w:rPr>
          <w:spacing w:val="4"/>
          <w:sz w:val="20"/>
          <w:szCs w:val="20"/>
        </w:rPr>
        <w:t xml:space="preserve">—that both patients and clinicians </w:t>
      </w:r>
      <w:r w:rsidRPr="003A2CB7">
        <w:rPr>
          <w:spacing w:val="4"/>
          <w:sz w:val="20"/>
          <w:szCs w:val="20"/>
        </w:rPr>
        <w:lastRenderedPageBreak/>
        <w:t xml:space="preserve">can share to explain how psychosocial burdens can drive the persistence and </w:t>
      </w:r>
      <w:proofErr w:type="spellStart"/>
      <w:r w:rsidRPr="003A2CB7">
        <w:rPr>
          <w:spacing w:val="4"/>
          <w:sz w:val="20"/>
          <w:szCs w:val="20"/>
        </w:rPr>
        <w:t>chronicization</w:t>
      </w:r>
      <w:proofErr w:type="spellEnd"/>
      <w:r w:rsidRPr="003A2CB7">
        <w:rPr>
          <w:spacing w:val="4"/>
          <w:sz w:val="20"/>
          <w:szCs w:val="20"/>
        </w:rPr>
        <w:t xml:space="preserve"> of symptoms.</w:t>
      </w:r>
    </w:p>
    <w:p w14:paraId="06BC5643" w14:textId="77777777" w:rsidR="003A2CB7" w:rsidRPr="003A2CB7" w:rsidRDefault="003A2CB7" w:rsidP="003A2CB7">
      <w:pPr>
        <w:widowControl w:val="0"/>
        <w:autoSpaceDE w:val="0"/>
        <w:autoSpaceDN w:val="0"/>
        <w:adjustRightInd w:val="0"/>
        <w:rPr>
          <w:spacing w:val="4"/>
          <w:sz w:val="20"/>
          <w:szCs w:val="20"/>
        </w:rPr>
      </w:pPr>
      <w:r w:rsidRPr="003A2CB7">
        <w:rPr>
          <w:spacing w:val="4"/>
          <w:sz w:val="20"/>
          <w:szCs w:val="20"/>
        </w:rPr>
        <w:t xml:space="preserve">To address this gap, this paper proposed </w:t>
      </w:r>
      <w:r w:rsidRPr="003A2CB7">
        <w:rPr>
          <w:b/>
          <w:bCs/>
          <w:spacing w:val="4"/>
          <w:sz w:val="20"/>
          <w:szCs w:val="20"/>
        </w:rPr>
        <w:t>Brain Overwork Syndrome</w:t>
      </w:r>
      <w:r w:rsidRPr="003A2CB7">
        <w:rPr>
          <w:spacing w:val="4"/>
          <w:sz w:val="20"/>
          <w:szCs w:val="20"/>
        </w:rPr>
        <w:t xml:space="preserve"> as an integrative model that treats Psychosocial Stressor–driven psychological and physical symptoms </w:t>
      </w:r>
      <w:r w:rsidRPr="003A2CB7">
        <w:rPr>
          <w:b/>
          <w:bCs/>
          <w:spacing w:val="4"/>
          <w:sz w:val="20"/>
          <w:szCs w:val="20"/>
        </w:rPr>
        <w:t>without separating them into disconnected domains</w:t>
      </w:r>
      <w:r w:rsidRPr="003A2CB7">
        <w:rPr>
          <w:spacing w:val="4"/>
          <w:sz w:val="20"/>
          <w:szCs w:val="20"/>
        </w:rPr>
        <w:t>. Brain Overwork Syndrome explains, in a unified manner, how brain over-recruitment triggered by psychosocial input may manifest not only as psychological symptoms but also as brain-mediated functional physical symptoms, and how symptoms, anxiety, and behavior can become re-inputs that form self-amplifying loops. This framework helps organize two common clinical dilemmas—(</w:t>
      </w:r>
      <w:proofErr w:type="spellStart"/>
      <w:r w:rsidRPr="003A2CB7">
        <w:rPr>
          <w:spacing w:val="4"/>
          <w:sz w:val="20"/>
          <w:szCs w:val="20"/>
        </w:rPr>
        <w:t>i</w:t>
      </w:r>
      <w:proofErr w:type="spellEnd"/>
      <w:r w:rsidRPr="003A2CB7">
        <w:rPr>
          <w:spacing w:val="4"/>
          <w:sz w:val="20"/>
          <w:szCs w:val="20"/>
        </w:rPr>
        <w:t xml:space="preserve">) why treatment strategies may differ despite “the same” symptom presentation, and (ii) how to handle normal test results—by structuring assessment and communication around </w:t>
      </w:r>
      <w:r w:rsidRPr="003A2CB7">
        <w:rPr>
          <w:b/>
          <w:bCs/>
          <w:spacing w:val="4"/>
          <w:sz w:val="20"/>
          <w:szCs w:val="20"/>
        </w:rPr>
        <w:t>psychosocial input, outputs, and amplifying loops</w:t>
      </w:r>
      <w:r w:rsidRPr="003A2CB7">
        <w:rPr>
          <w:spacing w:val="4"/>
          <w:sz w:val="20"/>
          <w:szCs w:val="20"/>
        </w:rPr>
        <w:t>, and by enabling the design of intervention priorities (input adjustment → output calming → loop interruption).</w:t>
      </w:r>
    </w:p>
    <w:p w14:paraId="0245FF1E" w14:textId="77777777" w:rsidR="003A2CB7" w:rsidRPr="003A2CB7" w:rsidRDefault="003A2CB7" w:rsidP="003A2CB7">
      <w:pPr>
        <w:widowControl w:val="0"/>
        <w:autoSpaceDE w:val="0"/>
        <w:autoSpaceDN w:val="0"/>
        <w:adjustRightInd w:val="0"/>
        <w:rPr>
          <w:spacing w:val="4"/>
          <w:sz w:val="20"/>
          <w:szCs w:val="20"/>
        </w:rPr>
      </w:pPr>
      <w:r w:rsidRPr="003A2CB7">
        <w:rPr>
          <w:spacing w:val="4"/>
          <w:sz w:val="20"/>
          <w:szCs w:val="20"/>
        </w:rPr>
        <w:t>Future challenges can be summarized into three areas:</w:t>
      </w:r>
    </w:p>
    <w:p w14:paraId="5258CCE8" w14:textId="77777777" w:rsidR="003A2CB7" w:rsidRPr="003A2CB7" w:rsidRDefault="003A2CB7" w:rsidP="003A2CB7">
      <w:pPr>
        <w:widowControl w:val="0"/>
        <w:autoSpaceDE w:val="0"/>
        <w:autoSpaceDN w:val="0"/>
        <w:adjustRightInd w:val="0"/>
        <w:rPr>
          <w:spacing w:val="4"/>
          <w:sz w:val="20"/>
          <w:szCs w:val="20"/>
        </w:rPr>
      </w:pPr>
      <w:r w:rsidRPr="003A2CB7">
        <w:rPr>
          <w:spacing w:val="4"/>
          <w:sz w:val="20"/>
          <w:szCs w:val="20"/>
        </w:rPr>
        <w:t>In parallel, recent work has advanced the allostatic load framework toward clinical translation, which may provide a complementary biological scaffold for Brain Overwork Syndrome hypothesis testing and intervention planning (Juster &amp; Misiak, 2023).</w:t>
      </w:r>
    </w:p>
    <w:p w14:paraId="33B9C42A" w14:textId="77777777" w:rsidR="003A2CB7" w:rsidRPr="003A2CB7" w:rsidRDefault="003A2CB7" w:rsidP="003A2CB7">
      <w:pPr>
        <w:widowControl w:val="0"/>
        <w:numPr>
          <w:ilvl w:val="0"/>
          <w:numId w:val="12"/>
        </w:numPr>
        <w:tabs>
          <w:tab w:val="clear" w:pos="360"/>
          <w:tab w:val="num" w:pos="720"/>
        </w:tabs>
        <w:autoSpaceDE w:val="0"/>
        <w:autoSpaceDN w:val="0"/>
        <w:adjustRightInd w:val="0"/>
        <w:rPr>
          <w:spacing w:val="4"/>
          <w:sz w:val="20"/>
          <w:szCs w:val="20"/>
        </w:rPr>
      </w:pPr>
      <w:r w:rsidRPr="003A2CB7">
        <w:rPr>
          <w:b/>
          <w:bCs/>
          <w:spacing w:val="4"/>
          <w:sz w:val="20"/>
          <w:szCs w:val="20"/>
        </w:rPr>
        <w:t>Systematizing the phenomenology of Brain Overwork Syndrome in</w:t>
      </w:r>
      <w:r w:rsidRPr="003A2CB7">
        <w:rPr>
          <w:spacing w:val="4"/>
          <w:sz w:val="20"/>
          <w:szCs w:val="20"/>
        </w:rPr>
        <w:t xml:space="preserve"> relation to physical symptoms (e.g., symptom clustering and identification of major phenotypes).</w:t>
      </w:r>
    </w:p>
    <w:p w14:paraId="78A74E9B" w14:textId="77777777" w:rsidR="003A2CB7" w:rsidRPr="003A2CB7" w:rsidRDefault="003A2CB7" w:rsidP="003A2CB7">
      <w:pPr>
        <w:widowControl w:val="0"/>
        <w:numPr>
          <w:ilvl w:val="0"/>
          <w:numId w:val="12"/>
        </w:numPr>
        <w:tabs>
          <w:tab w:val="clear" w:pos="360"/>
          <w:tab w:val="num" w:pos="720"/>
        </w:tabs>
        <w:autoSpaceDE w:val="0"/>
        <w:autoSpaceDN w:val="0"/>
        <w:adjustRightInd w:val="0"/>
        <w:rPr>
          <w:spacing w:val="4"/>
          <w:sz w:val="20"/>
          <w:szCs w:val="20"/>
        </w:rPr>
      </w:pPr>
      <w:r w:rsidRPr="003A2CB7">
        <w:rPr>
          <w:b/>
          <w:bCs/>
          <w:spacing w:val="4"/>
          <w:sz w:val="20"/>
          <w:szCs w:val="20"/>
        </w:rPr>
        <w:t>Testing the hypotheses and identifying clinically useful objective markers</w:t>
      </w:r>
      <w:r w:rsidRPr="003A2CB7">
        <w:rPr>
          <w:spacing w:val="4"/>
          <w:sz w:val="20"/>
          <w:szCs w:val="20"/>
        </w:rPr>
        <w:t>, using autonomic indices, sleep measures, inflammatory/neuroimmune markers, and stress hormones.</w:t>
      </w:r>
    </w:p>
    <w:p w14:paraId="457F77DC" w14:textId="77777777" w:rsidR="003A2CB7" w:rsidRPr="003A2CB7" w:rsidRDefault="003A2CB7" w:rsidP="003A2CB7">
      <w:pPr>
        <w:widowControl w:val="0"/>
        <w:numPr>
          <w:ilvl w:val="0"/>
          <w:numId w:val="12"/>
        </w:numPr>
        <w:tabs>
          <w:tab w:val="clear" w:pos="360"/>
          <w:tab w:val="num" w:pos="720"/>
        </w:tabs>
        <w:autoSpaceDE w:val="0"/>
        <w:autoSpaceDN w:val="0"/>
        <w:adjustRightInd w:val="0"/>
        <w:rPr>
          <w:spacing w:val="4"/>
          <w:sz w:val="20"/>
          <w:szCs w:val="20"/>
        </w:rPr>
      </w:pPr>
      <w:r w:rsidRPr="003A2CB7">
        <w:rPr>
          <w:b/>
          <w:bCs/>
          <w:spacing w:val="4"/>
          <w:sz w:val="20"/>
          <w:szCs w:val="20"/>
        </w:rPr>
        <w:t>Evaluating the effectiveness of Brain Overwork Syndrome-based interventions</w:t>
      </w:r>
      <w:r w:rsidRPr="003A2CB7">
        <w:rPr>
          <w:spacing w:val="4"/>
          <w:sz w:val="20"/>
          <w:szCs w:val="20"/>
        </w:rPr>
        <w:t>—including psychoeducation, adjustment of life burdens, behavioral interventions, sleep interventions, and pharmacotherapy—through longitudinal and interventional studies, including identification of predictors of treatment response (McEwen, 1998; Slavich &amp; Irwin, 2014; Miller et al., 2009).</w:t>
      </w:r>
    </w:p>
    <w:p w14:paraId="46260DF6" w14:textId="77777777" w:rsidR="003A2CB7" w:rsidRPr="003A2CB7" w:rsidRDefault="003A2CB7" w:rsidP="003A2CB7">
      <w:pPr>
        <w:widowControl w:val="0"/>
        <w:autoSpaceDE w:val="0"/>
        <w:autoSpaceDN w:val="0"/>
        <w:adjustRightInd w:val="0"/>
        <w:rPr>
          <w:spacing w:val="4"/>
          <w:sz w:val="20"/>
          <w:szCs w:val="20"/>
        </w:rPr>
      </w:pPr>
    </w:p>
    <w:p w14:paraId="3CF26471" w14:textId="77777777" w:rsidR="003A2CB7" w:rsidRPr="003A2CB7" w:rsidRDefault="003A2CB7" w:rsidP="003A2CB7">
      <w:pPr>
        <w:widowControl w:val="0"/>
        <w:autoSpaceDE w:val="0"/>
        <w:autoSpaceDN w:val="0"/>
        <w:adjustRightInd w:val="0"/>
        <w:rPr>
          <w:b/>
          <w:bCs/>
          <w:spacing w:val="4"/>
          <w:sz w:val="20"/>
          <w:szCs w:val="20"/>
        </w:rPr>
      </w:pPr>
      <w:r w:rsidRPr="003A2CB7">
        <w:rPr>
          <w:b/>
          <w:bCs/>
          <w:spacing w:val="4"/>
          <w:sz w:val="20"/>
          <w:szCs w:val="20"/>
        </w:rPr>
        <w:t>5.1. Brain Overwork Scale (BOS): The Need for Visualization</w:t>
      </w:r>
    </w:p>
    <w:p w14:paraId="6FA69A35" w14:textId="3A04273B" w:rsidR="003A2CB7" w:rsidRPr="003A2CB7" w:rsidRDefault="003A2CB7" w:rsidP="003A2CB7">
      <w:pPr>
        <w:widowControl w:val="0"/>
        <w:autoSpaceDE w:val="0"/>
        <w:autoSpaceDN w:val="0"/>
        <w:adjustRightInd w:val="0"/>
        <w:rPr>
          <w:spacing w:val="4"/>
          <w:sz w:val="20"/>
          <w:szCs w:val="20"/>
        </w:rPr>
      </w:pPr>
      <w:r w:rsidRPr="003A2CB7">
        <w:rPr>
          <w:spacing w:val="4"/>
          <w:sz w:val="20"/>
          <w:szCs w:val="20"/>
        </w:rPr>
        <w:t xml:space="preserve">Finally, to make Brain Overwork Syndrome clinically “usable,” a visualization tool is essential—one that allows clinicians to quickly capture the state, track change before and after treatment, and support shared decision-making. Brain Overwork Syndrome is better conceptualized as a </w:t>
      </w:r>
      <w:r w:rsidRPr="003A2CB7">
        <w:rPr>
          <w:b/>
          <w:bCs/>
          <w:spacing w:val="4"/>
          <w:sz w:val="20"/>
          <w:szCs w:val="20"/>
        </w:rPr>
        <w:t>clinical state</w:t>
      </w:r>
      <w:r w:rsidRPr="003A2CB7">
        <w:rPr>
          <w:spacing w:val="4"/>
          <w:sz w:val="20"/>
          <w:szCs w:val="20"/>
        </w:rPr>
        <w:t xml:space="preserve"> rather than a fixed diagnostic label; even within the same individual, its </w:t>
      </w:r>
      <w:r w:rsidRPr="003A2CB7">
        <w:rPr>
          <w:spacing w:val="4"/>
          <w:sz w:val="20"/>
          <w:szCs w:val="20"/>
        </w:rPr>
        <w:t xml:space="preserve">intensity and phenotype may vary across time. Accordingly, in outpatient settings it would be valuable to have a scale that can quantify the strength of </w:t>
      </w:r>
      <w:r w:rsidRPr="003A2CB7">
        <w:rPr>
          <w:b/>
          <w:bCs/>
          <w:spacing w:val="4"/>
          <w:sz w:val="20"/>
          <w:szCs w:val="20"/>
        </w:rPr>
        <w:t>brain over-recruitment</w:t>
      </w:r>
      <w:r w:rsidRPr="003A2CB7">
        <w:rPr>
          <w:spacing w:val="4"/>
          <w:sz w:val="20"/>
          <w:szCs w:val="20"/>
        </w:rPr>
        <w:t xml:space="preserve"> (rumination, hypersensitivity, hyperarousal) and the amplifying loops, facilitate shared prioritization of intervention targets, and support outcome monitoring. In the next paper (Review 4), we will propose the conceptual design and clinical implementation of a </w:t>
      </w:r>
      <w:r w:rsidRPr="003A2CB7">
        <w:rPr>
          <w:b/>
          <w:bCs/>
          <w:spacing w:val="4"/>
          <w:sz w:val="20"/>
          <w:szCs w:val="20"/>
        </w:rPr>
        <w:t>Brain Overwork Scale (BOS)</w:t>
      </w:r>
      <w:r w:rsidRPr="003A2CB7">
        <w:rPr>
          <w:spacing w:val="4"/>
          <w:sz w:val="20"/>
          <w:szCs w:val="20"/>
        </w:rPr>
        <w:t xml:space="preserve"> to visualize and operationalize this state.</w:t>
      </w:r>
    </w:p>
    <w:p w14:paraId="53905D0A" w14:textId="77777777" w:rsidR="00A35B06" w:rsidRPr="007E1FC6" w:rsidRDefault="00A35B06" w:rsidP="007C6FC5">
      <w:pPr>
        <w:widowControl w:val="0"/>
        <w:autoSpaceDE w:val="0"/>
        <w:autoSpaceDN w:val="0"/>
        <w:adjustRightInd w:val="0"/>
        <w:spacing w:before="240" w:after="120"/>
        <w:jc w:val="both"/>
        <w:rPr>
          <w:b/>
          <w:szCs w:val="20"/>
        </w:rPr>
      </w:pPr>
      <w:r w:rsidRPr="007E1FC6">
        <w:rPr>
          <w:b/>
          <w:szCs w:val="20"/>
        </w:rPr>
        <w:t>Author’s Contributions</w:t>
      </w:r>
    </w:p>
    <w:p w14:paraId="56E7E1AE" w14:textId="77777777" w:rsidR="003A2CB7" w:rsidRPr="007E1FC6" w:rsidRDefault="003A2CB7" w:rsidP="003A2CB7">
      <w:pPr>
        <w:widowControl w:val="0"/>
        <w:autoSpaceDE w:val="0"/>
        <w:autoSpaceDN w:val="0"/>
        <w:adjustRightInd w:val="0"/>
        <w:ind w:firstLine="274"/>
        <w:jc w:val="both"/>
        <w:rPr>
          <w:sz w:val="20"/>
          <w:szCs w:val="20"/>
        </w:rPr>
      </w:pPr>
      <w:r w:rsidRPr="00542D3F">
        <w:rPr>
          <w:sz w:val="20"/>
          <w:szCs w:val="20"/>
        </w:rPr>
        <w:t>T.H. drafted the manuscript</w:t>
      </w:r>
      <w:r>
        <w:rPr>
          <w:sz w:val="20"/>
          <w:szCs w:val="20"/>
        </w:rPr>
        <w:t xml:space="preserve"> and</w:t>
      </w:r>
      <w:r w:rsidRPr="00542D3F">
        <w:rPr>
          <w:sz w:val="20"/>
          <w:szCs w:val="20"/>
        </w:rPr>
        <w:t xml:space="preserve"> approved the final version of the manuscript</w:t>
      </w:r>
      <w:r w:rsidRPr="007E1FC6">
        <w:rPr>
          <w:sz w:val="20"/>
          <w:szCs w:val="20"/>
        </w:rPr>
        <w:t>.</w:t>
      </w:r>
    </w:p>
    <w:p w14:paraId="639C2D4C" w14:textId="77777777" w:rsidR="00167485" w:rsidRDefault="00167485" w:rsidP="00564242">
      <w:pPr>
        <w:widowControl w:val="0"/>
        <w:autoSpaceDE w:val="0"/>
        <w:autoSpaceDN w:val="0"/>
        <w:adjustRightInd w:val="0"/>
        <w:ind w:firstLine="274"/>
        <w:jc w:val="both"/>
        <w:rPr>
          <w:sz w:val="20"/>
          <w:szCs w:val="20"/>
        </w:rPr>
      </w:pPr>
      <w:r>
        <w:rPr>
          <w:sz w:val="20"/>
          <w:szCs w:val="20"/>
        </w:rPr>
        <w:t>B.L. reviewed</w:t>
      </w:r>
      <w:r w:rsidRPr="00542D3F">
        <w:rPr>
          <w:sz w:val="20"/>
          <w:szCs w:val="20"/>
        </w:rPr>
        <w:t xml:space="preserve"> the </w:t>
      </w:r>
      <w:r>
        <w:rPr>
          <w:sz w:val="20"/>
          <w:szCs w:val="20"/>
        </w:rPr>
        <w:t xml:space="preserve">manuscript. </w:t>
      </w:r>
    </w:p>
    <w:p w14:paraId="497A02C2" w14:textId="16482CB6" w:rsidR="00542D3F" w:rsidRPr="007E1FC6" w:rsidRDefault="00542D3F" w:rsidP="00542D3F">
      <w:pPr>
        <w:widowControl w:val="0"/>
        <w:autoSpaceDE w:val="0"/>
        <w:autoSpaceDN w:val="0"/>
        <w:adjustRightInd w:val="0"/>
        <w:spacing w:before="240" w:after="120"/>
        <w:jc w:val="both"/>
        <w:rPr>
          <w:b/>
          <w:szCs w:val="20"/>
        </w:rPr>
      </w:pPr>
      <w:r>
        <w:rPr>
          <w:b/>
          <w:szCs w:val="20"/>
        </w:rPr>
        <w:t>Conflict of Interest Statement</w:t>
      </w:r>
    </w:p>
    <w:p w14:paraId="31B36016" w14:textId="4221C788" w:rsidR="00542D3F" w:rsidRDefault="00542D3F" w:rsidP="00542D3F">
      <w:pPr>
        <w:widowControl w:val="0"/>
        <w:autoSpaceDE w:val="0"/>
        <w:autoSpaceDN w:val="0"/>
        <w:adjustRightInd w:val="0"/>
        <w:ind w:firstLine="274"/>
        <w:jc w:val="both"/>
        <w:rPr>
          <w:sz w:val="20"/>
          <w:szCs w:val="20"/>
        </w:rPr>
      </w:pPr>
      <w:r w:rsidRPr="00542D3F">
        <w:rPr>
          <w:sz w:val="20"/>
          <w:szCs w:val="20"/>
        </w:rPr>
        <w:t>The authors declare that they have no conflicts of interest to disclose</w:t>
      </w:r>
      <w:r>
        <w:rPr>
          <w:sz w:val="20"/>
          <w:szCs w:val="20"/>
        </w:rPr>
        <w:t>.</w:t>
      </w:r>
    </w:p>
    <w:p w14:paraId="69111FC2" w14:textId="77777777" w:rsidR="00A35B06" w:rsidRPr="006829D2" w:rsidRDefault="00A35B06" w:rsidP="007C6FC5">
      <w:pPr>
        <w:widowControl w:val="0"/>
        <w:autoSpaceDE w:val="0"/>
        <w:autoSpaceDN w:val="0"/>
        <w:adjustRightInd w:val="0"/>
        <w:spacing w:before="240" w:after="120"/>
        <w:jc w:val="both"/>
        <w:rPr>
          <w:b/>
          <w:szCs w:val="20"/>
        </w:rPr>
      </w:pPr>
      <w:r w:rsidRPr="006829D2">
        <w:rPr>
          <w:b/>
          <w:szCs w:val="20"/>
        </w:rPr>
        <w:t>References</w:t>
      </w:r>
    </w:p>
    <w:p w14:paraId="552DEBE0"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American Psychiatric Association. (2022). Diagnostic and statistical manual of mental disorders (5th ed., text rev.; DSM-5-TR). American Psychiatric Association Publishing. https://doi.org/10.1176/appi.books.9780890425787</w:t>
      </w:r>
    </w:p>
    <w:p w14:paraId="5DBEC0FF"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Barrett, L. F., &amp; Simmons, W. K. (2015). Interoceptive predictions in the brain. </w:t>
      </w:r>
      <w:r w:rsidRPr="003A2CB7">
        <w:rPr>
          <w:i/>
          <w:sz w:val="20"/>
          <w:szCs w:val="20"/>
        </w:rPr>
        <w:t>Nature Reviews Neuroscience</w:t>
      </w:r>
      <w:r w:rsidRPr="003A2CB7">
        <w:rPr>
          <w:sz w:val="20"/>
          <w:szCs w:val="20"/>
        </w:rPr>
        <w:t xml:space="preserve">, </w:t>
      </w:r>
      <w:r w:rsidRPr="003A2CB7">
        <w:rPr>
          <w:i/>
          <w:sz w:val="20"/>
          <w:szCs w:val="20"/>
        </w:rPr>
        <w:t>16</w:t>
      </w:r>
      <w:r w:rsidRPr="003A2CB7">
        <w:rPr>
          <w:sz w:val="20"/>
          <w:szCs w:val="20"/>
        </w:rPr>
        <w:t>(7), 419–429. https://doi.org/10.1038/nrn3950</w:t>
      </w:r>
    </w:p>
    <w:p w14:paraId="79FEE18E"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Barsky, A. J., &amp; Borus, J. F. (1999). Functional somatic syndromes. </w:t>
      </w:r>
      <w:r w:rsidRPr="003A2CB7">
        <w:rPr>
          <w:i/>
          <w:sz w:val="20"/>
          <w:szCs w:val="20"/>
        </w:rPr>
        <w:t>Annals of Internal Medicine</w:t>
      </w:r>
      <w:r w:rsidRPr="003A2CB7">
        <w:rPr>
          <w:sz w:val="20"/>
          <w:szCs w:val="20"/>
        </w:rPr>
        <w:t xml:space="preserve">, </w:t>
      </w:r>
      <w:r w:rsidRPr="003A2CB7">
        <w:rPr>
          <w:i/>
          <w:sz w:val="20"/>
          <w:szCs w:val="20"/>
        </w:rPr>
        <w:t>130</w:t>
      </w:r>
      <w:r w:rsidRPr="003A2CB7">
        <w:rPr>
          <w:sz w:val="20"/>
          <w:szCs w:val="20"/>
        </w:rPr>
        <w:t>(11), 910–921. https://doi.org/10.7326/0003-4819-130-11-199906010-00016</w:t>
      </w:r>
    </w:p>
    <w:p w14:paraId="42200C82"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Barthel, M.-C., Fricke, K., </w:t>
      </w:r>
      <w:proofErr w:type="spellStart"/>
      <w:r w:rsidRPr="003A2CB7">
        <w:rPr>
          <w:sz w:val="20"/>
          <w:szCs w:val="20"/>
        </w:rPr>
        <w:t>Muehlhan</w:t>
      </w:r>
      <w:proofErr w:type="spellEnd"/>
      <w:r w:rsidRPr="003A2CB7">
        <w:rPr>
          <w:sz w:val="20"/>
          <w:szCs w:val="20"/>
        </w:rPr>
        <w:t xml:space="preserve">, M., Vogel, S., &amp; Alexander, N. (2025). Habituation of the biological response to repeated Psychosocial Stressor: A systematic review and meta-analysis. </w:t>
      </w:r>
      <w:r w:rsidRPr="003A2CB7">
        <w:rPr>
          <w:i/>
          <w:sz w:val="20"/>
          <w:szCs w:val="20"/>
        </w:rPr>
        <w:t>Neuroscience &amp; Biobehavioral Reviews</w:t>
      </w:r>
      <w:r w:rsidRPr="003A2CB7">
        <w:rPr>
          <w:sz w:val="20"/>
          <w:szCs w:val="20"/>
        </w:rPr>
        <w:t xml:space="preserve">, </w:t>
      </w:r>
      <w:r w:rsidRPr="003A2CB7">
        <w:rPr>
          <w:i/>
          <w:sz w:val="20"/>
          <w:szCs w:val="20"/>
        </w:rPr>
        <w:t>169</w:t>
      </w:r>
      <w:r w:rsidRPr="003A2CB7">
        <w:rPr>
          <w:sz w:val="20"/>
          <w:szCs w:val="20"/>
        </w:rPr>
        <w:t>, 105996. https://doi.org/10.1016/j.neubiorev.2024.105996</w:t>
      </w:r>
    </w:p>
    <w:p w14:paraId="628C9DE2"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proofErr w:type="spellStart"/>
      <w:r w:rsidRPr="003A2CB7">
        <w:rPr>
          <w:sz w:val="20"/>
          <w:szCs w:val="20"/>
        </w:rPr>
        <w:t>Brosschot</w:t>
      </w:r>
      <w:proofErr w:type="spellEnd"/>
      <w:r w:rsidRPr="003A2CB7">
        <w:rPr>
          <w:sz w:val="20"/>
          <w:szCs w:val="20"/>
        </w:rPr>
        <w:t xml:space="preserve">, J. F., Gerin, W., &amp; Thayer, J. F. (2006). The perseverative cognition hypothesis: A review of worry, prolonged stress-related physiological activation, and health. </w:t>
      </w:r>
      <w:r w:rsidRPr="003A2CB7">
        <w:rPr>
          <w:i/>
          <w:sz w:val="20"/>
          <w:szCs w:val="20"/>
        </w:rPr>
        <w:t>Journal of Psychosomatic Research</w:t>
      </w:r>
      <w:r w:rsidRPr="003A2CB7">
        <w:rPr>
          <w:sz w:val="20"/>
          <w:szCs w:val="20"/>
        </w:rPr>
        <w:t xml:space="preserve">, </w:t>
      </w:r>
      <w:r w:rsidRPr="003A2CB7">
        <w:rPr>
          <w:i/>
          <w:sz w:val="20"/>
          <w:szCs w:val="20"/>
        </w:rPr>
        <w:t>60</w:t>
      </w:r>
      <w:r w:rsidRPr="003A2CB7">
        <w:rPr>
          <w:sz w:val="20"/>
          <w:szCs w:val="20"/>
        </w:rPr>
        <w:t>(2), 113–124. https://doi.org/10.1016/j.jpsychores.2005.06.074</w:t>
      </w:r>
    </w:p>
    <w:p w14:paraId="4791CBF4"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proofErr w:type="spellStart"/>
      <w:r w:rsidRPr="003A2CB7">
        <w:rPr>
          <w:sz w:val="20"/>
          <w:szCs w:val="20"/>
        </w:rPr>
        <w:t>Chrousos</w:t>
      </w:r>
      <w:proofErr w:type="spellEnd"/>
      <w:r w:rsidRPr="003A2CB7">
        <w:rPr>
          <w:sz w:val="20"/>
          <w:szCs w:val="20"/>
        </w:rPr>
        <w:t xml:space="preserve">, G. P., &amp; Gold, P. W. (1992). The concepts of stress and stress system disorders: Overview of physical and behavioral homeostasis. </w:t>
      </w:r>
      <w:r w:rsidRPr="003A2CB7">
        <w:rPr>
          <w:i/>
          <w:sz w:val="20"/>
          <w:szCs w:val="20"/>
        </w:rPr>
        <w:t>JAMA</w:t>
      </w:r>
      <w:r w:rsidRPr="003A2CB7">
        <w:rPr>
          <w:sz w:val="20"/>
          <w:szCs w:val="20"/>
        </w:rPr>
        <w:t xml:space="preserve">, </w:t>
      </w:r>
      <w:r w:rsidRPr="003A2CB7">
        <w:rPr>
          <w:i/>
          <w:sz w:val="20"/>
          <w:szCs w:val="20"/>
        </w:rPr>
        <w:t>267</w:t>
      </w:r>
      <w:r w:rsidRPr="003A2CB7">
        <w:rPr>
          <w:sz w:val="20"/>
          <w:szCs w:val="20"/>
        </w:rPr>
        <w:t xml:space="preserve">(9), </w:t>
      </w:r>
      <w:r w:rsidRPr="003A2CB7">
        <w:rPr>
          <w:sz w:val="20"/>
          <w:szCs w:val="20"/>
        </w:rPr>
        <w:lastRenderedPageBreak/>
        <w:t>1244–1252. https://doi.org/10.1001/jama.1992.03480090092034</w:t>
      </w:r>
    </w:p>
    <w:p w14:paraId="3F4A3C36"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Clark, A. (2013). Whatever next? Predictive brains, situated agents, and the future of cognitive science. </w:t>
      </w:r>
      <w:r w:rsidRPr="003A2CB7">
        <w:rPr>
          <w:i/>
          <w:sz w:val="20"/>
          <w:szCs w:val="20"/>
        </w:rPr>
        <w:t>Behavioral and Brain Sciences</w:t>
      </w:r>
      <w:r w:rsidRPr="003A2CB7">
        <w:rPr>
          <w:sz w:val="20"/>
          <w:szCs w:val="20"/>
        </w:rPr>
        <w:t xml:space="preserve">, </w:t>
      </w:r>
      <w:r w:rsidRPr="003A2CB7">
        <w:rPr>
          <w:i/>
          <w:sz w:val="20"/>
          <w:szCs w:val="20"/>
        </w:rPr>
        <w:t>36</w:t>
      </w:r>
      <w:r w:rsidRPr="003A2CB7">
        <w:rPr>
          <w:sz w:val="20"/>
          <w:szCs w:val="20"/>
        </w:rPr>
        <w:t>(3), 181–204. https://doi.org/10.1017/S0140525X12000477</w:t>
      </w:r>
    </w:p>
    <w:p w14:paraId="1DF4C507"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Cohen, S., Janicki-</w:t>
      </w:r>
      <w:proofErr w:type="spellStart"/>
      <w:r w:rsidRPr="003A2CB7">
        <w:rPr>
          <w:sz w:val="20"/>
          <w:szCs w:val="20"/>
        </w:rPr>
        <w:t>Deverts</w:t>
      </w:r>
      <w:proofErr w:type="spellEnd"/>
      <w:r w:rsidRPr="003A2CB7">
        <w:rPr>
          <w:sz w:val="20"/>
          <w:szCs w:val="20"/>
        </w:rPr>
        <w:t xml:space="preserve">, D., &amp; Miller, G. E. (2007). Psychological stress and disease. </w:t>
      </w:r>
      <w:r w:rsidRPr="003A2CB7">
        <w:rPr>
          <w:i/>
          <w:sz w:val="20"/>
          <w:szCs w:val="20"/>
        </w:rPr>
        <w:t>JAMA</w:t>
      </w:r>
      <w:r w:rsidRPr="003A2CB7">
        <w:rPr>
          <w:sz w:val="20"/>
          <w:szCs w:val="20"/>
        </w:rPr>
        <w:t xml:space="preserve">, </w:t>
      </w:r>
      <w:r w:rsidRPr="003A2CB7">
        <w:rPr>
          <w:i/>
          <w:sz w:val="20"/>
          <w:szCs w:val="20"/>
        </w:rPr>
        <w:t>298</w:t>
      </w:r>
      <w:r w:rsidRPr="003A2CB7">
        <w:rPr>
          <w:sz w:val="20"/>
          <w:szCs w:val="20"/>
        </w:rPr>
        <w:t>(14), 1685–1687. https://doi.org/10.1001/jama.298.14.1685</w:t>
      </w:r>
    </w:p>
    <w:p w14:paraId="5237561D"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Craig, A. D. B. (2009). How do you feel—now? The anterior insula and human awareness. </w:t>
      </w:r>
      <w:r w:rsidRPr="003A2CB7">
        <w:rPr>
          <w:i/>
          <w:sz w:val="20"/>
          <w:szCs w:val="20"/>
        </w:rPr>
        <w:t>Nature Reviews Neuroscience</w:t>
      </w:r>
      <w:r w:rsidRPr="003A2CB7">
        <w:rPr>
          <w:sz w:val="20"/>
          <w:szCs w:val="20"/>
        </w:rPr>
        <w:t xml:space="preserve">, </w:t>
      </w:r>
      <w:r w:rsidRPr="003A2CB7">
        <w:rPr>
          <w:i/>
          <w:sz w:val="20"/>
          <w:szCs w:val="20"/>
        </w:rPr>
        <w:t>10</w:t>
      </w:r>
      <w:r w:rsidRPr="003A2CB7">
        <w:rPr>
          <w:sz w:val="20"/>
          <w:szCs w:val="20"/>
        </w:rPr>
        <w:t>(1), 59–70. https://doi.org/10.1038/nrn2555</w:t>
      </w:r>
    </w:p>
    <w:p w14:paraId="2FEF75B2"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Dantzer, R., O'Connor, J. C., Freund, G. G., Johnson, R. W., &amp; Kelley, K. W. (2008). From inflammation to sickness and depression: When the immune system subjugates the brain. </w:t>
      </w:r>
      <w:r w:rsidRPr="003A2CB7">
        <w:rPr>
          <w:i/>
          <w:sz w:val="20"/>
          <w:szCs w:val="20"/>
        </w:rPr>
        <w:t>Nature Reviews Neuroscience</w:t>
      </w:r>
      <w:r w:rsidRPr="003A2CB7">
        <w:rPr>
          <w:sz w:val="20"/>
          <w:szCs w:val="20"/>
        </w:rPr>
        <w:t xml:space="preserve">, </w:t>
      </w:r>
      <w:r w:rsidRPr="003A2CB7">
        <w:rPr>
          <w:i/>
          <w:sz w:val="20"/>
          <w:szCs w:val="20"/>
        </w:rPr>
        <w:t>9</w:t>
      </w:r>
      <w:r w:rsidRPr="003A2CB7">
        <w:rPr>
          <w:sz w:val="20"/>
          <w:szCs w:val="20"/>
        </w:rPr>
        <w:t>(1), 46–56. https://doi.org/10.1038/nrn2297</w:t>
      </w:r>
    </w:p>
    <w:p w14:paraId="1082FB5E"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Deary, V., Chalder, T., &amp; Sharpe, M. (2007). The cognitive </w:t>
      </w:r>
      <w:proofErr w:type="spellStart"/>
      <w:r w:rsidRPr="003A2CB7">
        <w:rPr>
          <w:sz w:val="20"/>
          <w:szCs w:val="20"/>
        </w:rPr>
        <w:t>behavioural</w:t>
      </w:r>
      <w:proofErr w:type="spellEnd"/>
      <w:r w:rsidRPr="003A2CB7">
        <w:rPr>
          <w:sz w:val="20"/>
          <w:szCs w:val="20"/>
        </w:rPr>
        <w:t xml:space="preserve"> model of medically unexplained symptoms: A theoretical and empirical review. </w:t>
      </w:r>
      <w:r w:rsidRPr="003A2CB7">
        <w:rPr>
          <w:i/>
          <w:sz w:val="20"/>
          <w:szCs w:val="20"/>
        </w:rPr>
        <w:t>Clinical Psychology Review</w:t>
      </w:r>
      <w:r w:rsidRPr="003A2CB7">
        <w:rPr>
          <w:sz w:val="20"/>
          <w:szCs w:val="20"/>
        </w:rPr>
        <w:t xml:space="preserve">, </w:t>
      </w:r>
      <w:r w:rsidRPr="003A2CB7">
        <w:rPr>
          <w:i/>
          <w:sz w:val="20"/>
          <w:szCs w:val="20"/>
        </w:rPr>
        <w:t>27</w:t>
      </w:r>
      <w:r w:rsidRPr="003A2CB7">
        <w:rPr>
          <w:sz w:val="20"/>
          <w:szCs w:val="20"/>
        </w:rPr>
        <w:t>(7), 781–797. https://doi.org/10.1016/j.cpr.2007.07.002</w:t>
      </w:r>
    </w:p>
    <w:p w14:paraId="0BF2067D"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Engel, G. L. (1977). The need for a new medical model: A challenge for biomedicine. </w:t>
      </w:r>
      <w:r w:rsidRPr="003A2CB7">
        <w:rPr>
          <w:i/>
          <w:sz w:val="20"/>
          <w:szCs w:val="20"/>
        </w:rPr>
        <w:t>Science</w:t>
      </w:r>
      <w:r w:rsidRPr="003A2CB7">
        <w:rPr>
          <w:sz w:val="20"/>
          <w:szCs w:val="20"/>
        </w:rPr>
        <w:t xml:space="preserve">, </w:t>
      </w:r>
      <w:r w:rsidRPr="003A2CB7">
        <w:rPr>
          <w:i/>
          <w:sz w:val="20"/>
          <w:szCs w:val="20"/>
        </w:rPr>
        <w:t>196</w:t>
      </w:r>
      <w:r w:rsidRPr="003A2CB7">
        <w:rPr>
          <w:sz w:val="20"/>
          <w:szCs w:val="20"/>
        </w:rPr>
        <w:t>(4286), 129–136. https://doi.org/10.1126/science.847460</w:t>
      </w:r>
    </w:p>
    <w:p w14:paraId="5EEFABDF"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Fink, P., &amp; Schröder, A. (2010). One single diagnosis, bodily distress syndrome, succeeded to capture 10 diagnostic categories of functional somatic syndromes and somatoform disorders. </w:t>
      </w:r>
      <w:r w:rsidRPr="003A2CB7">
        <w:rPr>
          <w:i/>
          <w:sz w:val="20"/>
          <w:szCs w:val="20"/>
        </w:rPr>
        <w:t>Journal of Psychosomatic Research</w:t>
      </w:r>
      <w:r w:rsidRPr="003A2CB7">
        <w:rPr>
          <w:sz w:val="20"/>
          <w:szCs w:val="20"/>
        </w:rPr>
        <w:t xml:space="preserve">, </w:t>
      </w:r>
      <w:r w:rsidRPr="003A2CB7">
        <w:rPr>
          <w:i/>
          <w:sz w:val="20"/>
          <w:szCs w:val="20"/>
        </w:rPr>
        <w:t>68</w:t>
      </w:r>
      <w:r w:rsidRPr="003A2CB7">
        <w:rPr>
          <w:sz w:val="20"/>
          <w:szCs w:val="20"/>
        </w:rPr>
        <w:t>(5), 415–426. https://doi.org/10.1016/j.jpsychores.2010.02.004</w:t>
      </w:r>
    </w:p>
    <w:p w14:paraId="2BA16846"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Friston, K. (2010). </w:t>
      </w:r>
      <w:r w:rsidRPr="003A2CB7">
        <w:rPr>
          <w:i/>
          <w:sz w:val="20"/>
          <w:szCs w:val="20"/>
        </w:rPr>
        <w:t>The free-energy principle: A unified brain theory? Nature Reviews Neuroscience</w:t>
      </w:r>
      <w:r w:rsidRPr="003A2CB7">
        <w:rPr>
          <w:sz w:val="20"/>
          <w:szCs w:val="20"/>
        </w:rPr>
        <w:t xml:space="preserve">, </w:t>
      </w:r>
      <w:r w:rsidRPr="003A2CB7">
        <w:rPr>
          <w:i/>
          <w:sz w:val="20"/>
          <w:szCs w:val="20"/>
        </w:rPr>
        <w:t>11</w:t>
      </w:r>
      <w:r w:rsidRPr="003A2CB7">
        <w:rPr>
          <w:sz w:val="20"/>
          <w:szCs w:val="20"/>
        </w:rPr>
        <w:t>(2), 127–138. https://doi.org/10.1038/nrn2787</w:t>
      </w:r>
    </w:p>
    <w:p w14:paraId="6A2A0C3C"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Harvey, A. G. (2002). A cognitive model of insomnia. </w:t>
      </w:r>
      <w:proofErr w:type="spellStart"/>
      <w:r w:rsidRPr="003A2CB7">
        <w:rPr>
          <w:i/>
          <w:sz w:val="20"/>
          <w:szCs w:val="20"/>
        </w:rPr>
        <w:t>Behaviour</w:t>
      </w:r>
      <w:proofErr w:type="spellEnd"/>
      <w:r w:rsidRPr="003A2CB7">
        <w:rPr>
          <w:i/>
          <w:sz w:val="20"/>
          <w:szCs w:val="20"/>
        </w:rPr>
        <w:t xml:space="preserve"> Research and Therapy</w:t>
      </w:r>
      <w:r w:rsidRPr="003A2CB7">
        <w:rPr>
          <w:sz w:val="20"/>
          <w:szCs w:val="20"/>
        </w:rPr>
        <w:t xml:space="preserve">, </w:t>
      </w:r>
      <w:r w:rsidRPr="003A2CB7">
        <w:rPr>
          <w:i/>
          <w:sz w:val="20"/>
          <w:szCs w:val="20"/>
        </w:rPr>
        <w:t>40</w:t>
      </w:r>
      <w:r w:rsidRPr="003A2CB7">
        <w:rPr>
          <w:sz w:val="20"/>
          <w:szCs w:val="20"/>
        </w:rPr>
        <w:t>(8), 869–893. https://doi.org/10.1016/S0005-7967(01)00061-4</w:t>
      </w:r>
    </w:p>
    <w:p w14:paraId="6A244C96"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Henningsen, P., Zipfel, S., &amp; Herzog, W. (2007). Management of functional somatic syndromes. </w:t>
      </w:r>
      <w:r w:rsidRPr="003A2CB7">
        <w:rPr>
          <w:i/>
          <w:sz w:val="20"/>
          <w:szCs w:val="20"/>
        </w:rPr>
        <w:t>The Lancet</w:t>
      </w:r>
      <w:r w:rsidRPr="003A2CB7">
        <w:rPr>
          <w:sz w:val="20"/>
          <w:szCs w:val="20"/>
        </w:rPr>
        <w:t xml:space="preserve">, </w:t>
      </w:r>
      <w:r w:rsidRPr="003A2CB7">
        <w:rPr>
          <w:i/>
          <w:sz w:val="20"/>
          <w:szCs w:val="20"/>
        </w:rPr>
        <w:t>369</w:t>
      </w:r>
      <w:r w:rsidRPr="003A2CB7">
        <w:rPr>
          <w:sz w:val="20"/>
          <w:szCs w:val="20"/>
        </w:rPr>
        <w:t>(9565), 946–955. https://doi.org/10.1016/S0140-6736(07)60159-7</w:t>
      </w:r>
    </w:p>
    <w:p w14:paraId="0D9AFAD3"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Juster, R.-P., &amp; Misiak, B. (2023). Advancing the allostatic load model: From theory to therapy. </w:t>
      </w:r>
      <w:proofErr w:type="spellStart"/>
      <w:r w:rsidRPr="003A2CB7">
        <w:rPr>
          <w:i/>
          <w:sz w:val="20"/>
          <w:szCs w:val="20"/>
        </w:rPr>
        <w:t>Psychoneuroendocrinology</w:t>
      </w:r>
      <w:proofErr w:type="spellEnd"/>
      <w:r w:rsidRPr="003A2CB7">
        <w:rPr>
          <w:sz w:val="20"/>
          <w:szCs w:val="20"/>
        </w:rPr>
        <w:t xml:space="preserve">, </w:t>
      </w:r>
      <w:r w:rsidRPr="003A2CB7">
        <w:rPr>
          <w:i/>
          <w:sz w:val="20"/>
          <w:szCs w:val="20"/>
        </w:rPr>
        <w:t>154</w:t>
      </w:r>
      <w:r w:rsidRPr="003A2CB7">
        <w:rPr>
          <w:sz w:val="20"/>
          <w:szCs w:val="20"/>
        </w:rPr>
        <w:t>, 106289. https://doi.org/10.1016/j.psyneuen.2023.106289</w:t>
      </w:r>
    </w:p>
    <w:p w14:paraId="0D952C73"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Kapfhammer, H.-P. (2006). Somatic symptoms in depression. </w:t>
      </w:r>
      <w:r w:rsidRPr="003A2CB7">
        <w:rPr>
          <w:i/>
          <w:sz w:val="20"/>
          <w:szCs w:val="20"/>
        </w:rPr>
        <w:t>Dialogues in Clinical Neuroscience</w:t>
      </w:r>
      <w:r w:rsidRPr="003A2CB7">
        <w:rPr>
          <w:sz w:val="20"/>
          <w:szCs w:val="20"/>
        </w:rPr>
        <w:t xml:space="preserve">, </w:t>
      </w:r>
      <w:r w:rsidRPr="003A2CB7">
        <w:rPr>
          <w:i/>
          <w:sz w:val="20"/>
          <w:szCs w:val="20"/>
        </w:rPr>
        <w:t>8</w:t>
      </w:r>
      <w:r w:rsidRPr="003A2CB7">
        <w:rPr>
          <w:sz w:val="20"/>
          <w:szCs w:val="20"/>
        </w:rPr>
        <w:t>(2), 227–239. https://doi.org/10.31887/DCNS.2006.8.2/hpkapfhammer</w:t>
      </w:r>
    </w:p>
    <w:p w14:paraId="2ED6E94E"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Kroenke, K. (2007). Efficacy of treatment for somatoform disorders: A review of randomized controlled trials. </w:t>
      </w:r>
      <w:r w:rsidRPr="003A2CB7">
        <w:rPr>
          <w:i/>
          <w:sz w:val="20"/>
          <w:szCs w:val="20"/>
        </w:rPr>
        <w:t>Psychosomatic Medicine</w:t>
      </w:r>
      <w:r w:rsidRPr="003A2CB7">
        <w:rPr>
          <w:sz w:val="20"/>
          <w:szCs w:val="20"/>
        </w:rPr>
        <w:t xml:space="preserve">, </w:t>
      </w:r>
      <w:r w:rsidRPr="003A2CB7">
        <w:rPr>
          <w:i/>
          <w:sz w:val="20"/>
          <w:szCs w:val="20"/>
        </w:rPr>
        <w:t>69</w:t>
      </w:r>
      <w:r w:rsidRPr="003A2CB7">
        <w:rPr>
          <w:sz w:val="20"/>
          <w:szCs w:val="20"/>
        </w:rPr>
        <w:t>(9), 881–888. https://doi.org/10.1097/PSY.0b013e31815b00c4</w:t>
      </w:r>
    </w:p>
    <w:p w14:paraId="05C131A7"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Lazarus, R. S., &amp; Folkman, S. (1984). </w:t>
      </w:r>
      <w:r w:rsidRPr="003A2CB7">
        <w:rPr>
          <w:i/>
          <w:sz w:val="20"/>
          <w:szCs w:val="20"/>
        </w:rPr>
        <w:t>Stress, appraisal, and coping</w:t>
      </w:r>
      <w:r w:rsidRPr="003A2CB7">
        <w:rPr>
          <w:sz w:val="20"/>
          <w:szCs w:val="20"/>
        </w:rPr>
        <w:t>. Springer.</w:t>
      </w:r>
    </w:p>
    <w:p w14:paraId="5F9A7EC0"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Löwe, B., Toussaint, A., Rosmalen, J. G. M., Huang, W.-L., Burton, C., Weigel, A., Levenson, J. L., &amp; Henningsen, P. (2024). Persistent physical symptoms: Definition, genesis, and management. </w:t>
      </w:r>
      <w:r w:rsidRPr="003A2CB7">
        <w:rPr>
          <w:i/>
          <w:sz w:val="20"/>
          <w:szCs w:val="20"/>
        </w:rPr>
        <w:t>The Lancet</w:t>
      </w:r>
      <w:r w:rsidRPr="003A2CB7">
        <w:rPr>
          <w:sz w:val="20"/>
          <w:szCs w:val="20"/>
        </w:rPr>
        <w:t xml:space="preserve">, </w:t>
      </w:r>
      <w:r w:rsidRPr="003A2CB7">
        <w:rPr>
          <w:i/>
          <w:sz w:val="20"/>
          <w:szCs w:val="20"/>
        </w:rPr>
        <w:t>403</w:t>
      </w:r>
      <w:r w:rsidRPr="003A2CB7">
        <w:rPr>
          <w:sz w:val="20"/>
          <w:szCs w:val="20"/>
        </w:rPr>
        <w:t>(10444), 2649–2662. https://doi.org/10.1016/S0140-6736(24)00623-8</w:t>
      </w:r>
    </w:p>
    <w:p w14:paraId="44FD7699"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McEwen, B. S., &amp; Stellar, E. (1993). Stress and the individual: Mechanisms leading to disease. </w:t>
      </w:r>
      <w:r w:rsidRPr="003A2CB7">
        <w:rPr>
          <w:i/>
          <w:sz w:val="20"/>
          <w:szCs w:val="20"/>
        </w:rPr>
        <w:t>Archives of Internal Medicine</w:t>
      </w:r>
      <w:r w:rsidRPr="003A2CB7">
        <w:rPr>
          <w:sz w:val="20"/>
          <w:szCs w:val="20"/>
        </w:rPr>
        <w:t xml:space="preserve">, </w:t>
      </w:r>
      <w:r w:rsidRPr="003A2CB7">
        <w:rPr>
          <w:i/>
          <w:sz w:val="20"/>
          <w:szCs w:val="20"/>
        </w:rPr>
        <w:t>153</w:t>
      </w:r>
      <w:r w:rsidRPr="003A2CB7">
        <w:rPr>
          <w:sz w:val="20"/>
          <w:szCs w:val="20"/>
        </w:rPr>
        <w:t>(18), 2093–2101. https://doi.org/10.1001/archinte.1993.00410180039004</w:t>
      </w:r>
    </w:p>
    <w:p w14:paraId="4ABBA62C"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McEwen, B. S. (1998). Protective and damaging effects of stress mediators. </w:t>
      </w:r>
      <w:r w:rsidRPr="003A2CB7">
        <w:rPr>
          <w:i/>
          <w:sz w:val="20"/>
          <w:szCs w:val="20"/>
        </w:rPr>
        <w:t>The New England Journal of Medicine</w:t>
      </w:r>
      <w:r w:rsidRPr="003A2CB7">
        <w:rPr>
          <w:sz w:val="20"/>
          <w:szCs w:val="20"/>
        </w:rPr>
        <w:t xml:space="preserve">, </w:t>
      </w:r>
      <w:r w:rsidRPr="003A2CB7">
        <w:rPr>
          <w:i/>
          <w:sz w:val="20"/>
          <w:szCs w:val="20"/>
        </w:rPr>
        <w:t>338</w:t>
      </w:r>
      <w:r w:rsidRPr="003A2CB7">
        <w:rPr>
          <w:sz w:val="20"/>
          <w:szCs w:val="20"/>
        </w:rPr>
        <w:t>(3), 171–179. https://doi.org/10.1056/NEJM199801153380307</w:t>
      </w:r>
    </w:p>
    <w:p w14:paraId="1BE2B09E"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Miller, A. H., Maletic, V., &amp; Raison, C. L. (2009). Inflammation and its discontents: The role of cytokines in the pathophysiology of major depression. </w:t>
      </w:r>
      <w:r w:rsidRPr="003A2CB7">
        <w:rPr>
          <w:i/>
          <w:sz w:val="20"/>
          <w:szCs w:val="20"/>
        </w:rPr>
        <w:t>Biological Psychiatry</w:t>
      </w:r>
      <w:r w:rsidRPr="003A2CB7">
        <w:rPr>
          <w:sz w:val="20"/>
          <w:szCs w:val="20"/>
        </w:rPr>
        <w:t xml:space="preserve">, </w:t>
      </w:r>
      <w:r w:rsidRPr="003A2CB7">
        <w:rPr>
          <w:i/>
          <w:sz w:val="20"/>
          <w:szCs w:val="20"/>
        </w:rPr>
        <w:t>65</w:t>
      </w:r>
      <w:r w:rsidRPr="003A2CB7">
        <w:rPr>
          <w:sz w:val="20"/>
          <w:szCs w:val="20"/>
        </w:rPr>
        <w:t>(9), 732–741. https://doi.org/10.1016/j.biopsych.2008.11.029</w:t>
      </w:r>
    </w:p>
    <w:p w14:paraId="629E4D93"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Paulus, M. P., &amp; Stein, M. B. (2010). Interoception in anxiety and depression. </w:t>
      </w:r>
      <w:r w:rsidRPr="003A2CB7">
        <w:rPr>
          <w:i/>
          <w:sz w:val="20"/>
          <w:szCs w:val="20"/>
        </w:rPr>
        <w:t>Brain Structure and Function</w:t>
      </w:r>
      <w:r w:rsidRPr="003A2CB7">
        <w:rPr>
          <w:sz w:val="20"/>
          <w:szCs w:val="20"/>
        </w:rPr>
        <w:t xml:space="preserve">, </w:t>
      </w:r>
      <w:r w:rsidRPr="003A2CB7">
        <w:rPr>
          <w:i/>
          <w:sz w:val="20"/>
          <w:szCs w:val="20"/>
        </w:rPr>
        <w:t>214</w:t>
      </w:r>
      <w:r w:rsidRPr="003A2CB7">
        <w:rPr>
          <w:sz w:val="20"/>
          <w:szCs w:val="20"/>
        </w:rPr>
        <w:t>(5–6), 451–463. https://doi.org/10.1007/s00429-010-0258-9</w:t>
      </w:r>
    </w:p>
    <w:p w14:paraId="6E12F8BC"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Petzke, T. M., Weber, K., Van den Bergh, O., &amp; </w:t>
      </w:r>
      <w:proofErr w:type="spellStart"/>
      <w:r w:rsidRPr="003A2CB7">
        <w:rPr>
          <w:sz w:val="20"/>
          <w:szCs w:val="20"/>
        </w:rPr>
        <w:t>Witthöft</w:t>
      </w:r>
      <w:proofErr w:type="spellEnd"/>
      <w:r w:rsidRPr="003A2CB7">
        <w:rPr>
          <w:sz w:val="20"/>
          <w:szCs w:val="20"/>
        </w:rPr>
        <w:t xml:space="preserve">, M. (2024). Illustrating the pathway from affect to somatic symptom: The Affective Picture Paradigm. </w:t>
      </w:r>
      <w:r w:rsidRPr="003A2CB7">
        <w:rPr>
          <w:i/>
          <w:sz w:val="20"/>
          <w:szCs w:val="20"/>
        </w:rPr>
        <w:t>Cognition and Emotion</w:t>
      </w:r>
      <w:r w:rsidRPr="003A2CB7">
        <w:rPr>
          <w:sz w:val="20"/>
          <w:szCs w:val="20"/>
        </w:rPr>
        <w:t xml:space="preserve">, </w:t>
      </w:r>
      <w:r w:rsidRPr="003A2CB7">
        <w:rPr>
          <w:i/>
          <w:sz w:val="20"/>
          <w:szCs w:val="20"/>
        </w:rPr>
        <w:t>38</w:t>
      </w:r>
      <w:r w:rsidRPr="003A2CB7">
        <w:rPr>
          <w:sz w:val="20"/>
          <w:szCs w:val="20"/>
        </w:rPr>
        <w:t>(5), 801–817. https://doi.org/10.1080/02699931.2024.2319273</w:t>
      </w:r>
    </w:p>
    <w:p w14:paraId="68DD398F"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Porges, S. W. (2007). The polyvagal perspective. </w:t>
      </w:r>
      <w:r w:rsidRPr="003A2CB7">
        <w:rPr>
          <w:i/>
          <w:sz w:val="20"/>
          <w:szCs w:val="20"/>
        </w:rPr>
        <w:t>Biological Psychology</w:t>
      </w:r>
      <w:r w:rsidRPr="003A2CB7">
        <w:rPr>
          <w:sz w:val="20"/>
          <w:szCs w:val="20"/>
        </w:rPr>
        <w:t xml:space="preserve">, </w:t>
      </w:r>
      <w:r w:rsidRPr="003A2CB7">
        <w:rPr>
          <w:i/>
          <w:sz w:val="20"/>
          <w:szCs w:val="20"/>
        </w:rPr>
        <w:t>74</w:t>
      </w:r>
      <w:r w:rsidRPr="003A2CB7">
        <w:rPr>
          <w:sz w:val="20"/>
          <w:szCs w:val="20"/>
        </w:rPr>
        <w:t>(2), 116–143. https://doi.org/10.1016/j.biopsycho.2006.06.009</w:t>
      </w:r>
    </w:p>
    <w:p w14:paraId="09F60722"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Rief, W., &amp; Broadbent, E. (2007). Explaining medically unexplained symptoms—Models and mechanisms. </w:t>
      </w:r>
      <w:r w:rsidRPr="003A2CB7">
        <w:rPr>
          <w:i/>
          <w:sz w:val="20"/>
          <w:szCs w:val="20"/>
        </w:rPr>
        <w:t>Clinical Psychology Review</w:t>
      </w:r>
      <w:r w:rsidRPr="003A2CB7">
        <w:rPr>
          <w:sz w:val="20"/>
          <w:szCs w:val="20"/>
        </w:rPr>
        <w:t xml:space="preserve">, </w:t>
      </w:r>
      <w:r w:rsidRPr="003A2CB7">
        <w:rPr>
          <w:i/>
          <w:sz w:val="20"/>
          <w:szCs w:val="20"/>
        </w:rPr>
        <w:t>27</w:t>
      </w:r>
      <w:r w:rsidRPr="003A2CB7">
        <w:rPr>
          <w:sz w:val="20"/>
          <w:szCs w:val="20"/>
        </w:rPr>
        <w:t>(7), 821–841. https://doi.org/10.1016/j.cpr.2007.07.005</w:t>
      </w:r>
    </w:p>
    <w:p w14:paraId="3E7C5135"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Sapolsky, R. M., Romero, L. M., &amp; Munck, A. U. (2000). How do glucocorticoids influence stress responses? Integrating permissive, suppressive, stimulatory, and preparative actions. </w:t>
      </w:r>
      <w:r w:rsidRPr="003A2CB7">
        <w:rPr>
          <w:i/>
          <w:sz w:val="20"/>
          <w:szCs w:val="20"/>
        </w:rPr>
        <w:t>Endocrine Reviews</w:t>
      </w:r>
      <w:r w:rsidRPr="003A2CB7">
        <w:rPr>
          <w:sz w:val="20"/>
          <w:szCs w:val="20"/>
        </w:rPr>
        <w:t xml:space="preserve">, </w:t>
      </w:r>
      <w:r w:rsidRPr="003A2CB7">
        <w:rPr>
          <w:i/>
          <w:sz w:val="20"/>
          <w:szCs w:val="20"/>
        </w:rPr>
        <w:t>21</w:t>
      </w:r>
      <w:r w:rsidRPr="003A2CB7">
        <w:rPr>
          <w:sz w:val="20"/>
          <w:szCs w:val="20"/>
        </w:rPr>
        <w:t>(1), 55–</w:t>
      </w:r>
      <w:r w:rsidRPr="003A2CB7">
        <w:rPr>
          <w:sz w:val="20"/>
          <w:szCs w:val="20"/>
        </w:rPr>
        <w:lastRenderedPageBreak/>
        <w:t>89. https://doi.org/10.1210/edrv.21.1.0390</w:t>
      </w:r>
    </w:p>
    <w:p w14:paraId="42443E63"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Saunders, C., Pedersen, H. F., Rask, C. U., &amp; Frostholm, L. (2026). bodysymptoms.org: Postlaunch evaluation and update. </w:t>
      </w:r>
      <w:r w:rsidRPr="003A2CB7">
        <w:rPr>
          <w:i/>
          <w:sz w:val="20"/>
          <w:szCs w:val="20"/>
        </w:rPr>
        <w:t>Journal of Psychosomatic Research</w:t>
      </w:r>
      <w:r w:rsidRPr="003A2CB7">
        <w:rPr>
          <w:sz w:val="20"/>
          <w:szCs w:val="20"/>
        </w:rPr>
        <w:t xml:space="preserve">, </w:t>
      </w:r>
      <w:r w:rsidRPr="003A2CB7">
        <w:rPr>
          <w:i/>
          <w:sz w:val="20"/>
          <w:szCs w:val="20"/>
        </w:rPr>
        <w:t>200</w:t>
      </w:r>
      <w:r w:rsidRPr="003A2CB7">
        <w:rPr>
          <w:sz w:val="20"/>
          <w:szCs w:val="20"/>
        </w:rPr>
        <w:t>, 112445. https://doi.org/10.1016/j.jpsychores.2025.112445</w:t>
      </w:r>
    </w:p>
    <w:p w14:paraId="4F1A3787"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Selye, H. (1956). </w:t>
      </w:r>
      <w:r w:rsidRPr="003A2CB7">
        <w:rPr>
          <w:i/>
          <w:sz w:val="20"/>
          <w:szCs w:val="20"/>
        </w:rPr>
        <w:t>The stress of life</w:t>
      </w:r>
      <w:r w:rsidRPr="003A2CB7">
        <w:rPr>
          <w:sz w:val="20"/>
          <w:szCs w:val="20"/>
        </w:rPr>
        <w:t>. McGraw-Hill.</w:t>
      </w:r>
    </w:p>
    <w:p w14:paraId="3BD10E89"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Seth, A. K. (2013). Interoceptive inference, emotion, and the embodied self. </w:t>
      </w:r>
      <w:r w:rsidRPr="003A2CB7">
        <w:rPr>
          <w:i/>
          <w:sz w:val="20"/>
          <w:szCs w:val="20"/>
        </w:rPr>
        <w:t>Trends in Cognitive Sciences</w:t>
      </w:r>
      <w:r w:rsidRPr="003A2CB7">
        <w:rPr>
          <w:sz w:val="20"/>
          <w:szCs w:val="20"/>
        </w:rPr>
        <w:t xml:space="preserve">, </w:t>
      </w:r>
      <w:r w:rsidRPr="003A2CB7">
        <w:rPr>
          <w:i/>
          <w:sz w:val="20"/>
          <w:szCs w:val="20"/>
        </w:rPr>
        <w:t>17</w:t>
      </w:r>
      <w:r w:rsidRPr="003A2CB7">
        <w:rPr>
          <w:sz w:val="20"/>
          <w:szCs w:val="20"/>
        </w:rPr>
        <w:t>(11), 565–573. https://doi.org/10.1016/j.tics.2013.09.007</w:t>
      </w:r>
    </w:p>
    <w:p w14:paraId="5E27651A"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Simon, G. E., </w:t>
      </w:r>
      <w:proofErr w:type="spellStart"/>
      <w:r w:rsidRPr="003A2CB7">
        <w:rPr>
          <w:sz w:val="20"/>
          <w:szCs w:val="20"/>
        </w:rPr>
        <w:t>VonKorff</w:t>
      </w:r>
      <w:proofErr w:type="spellEnd"/>
      <w:r w:rsidRPr="003A2CB7">
        <w:rPr>
          <w:sz w:val="20"/>
          <w:szCs w:val="20"/>
        </w:rPr>
        <w:t xml:space="preserve">, M., Piccinelli, M., Fullerton, C., &amp; </w:t>
      </w:r>
      <w:proofErr w:type="spellStart"/>
      <w:r w:rsidRPr="003A2CB7">
        <w:rPr>
          <w:sz w:val="20"/>
          <w:szCs w:val="20"/>
        </w:rPr>
        <w:t>Ormel</w:t>
      </w:r>
      <w:proofErr w:type="spellEnd"/>
      <w:r w:rsidRPr="003A2CB7">
        <w:rPr>
          <w:sz w:val="20"/>
          <w:szCs w:val="20"/>
        </w:rPr>
        <w:t xml:space="preserve">, J. (1999). An international study of the relation between somatic symptoms and depression. </w:t>
      </w:r>
      <w:r w:rsidRPr="003A2CB7">
        <w:rPr>
          <w:i/>
          <w:sz w:val="20"/>
          <w:szCs w:val="20"/>
        </w:rPr>
        <w:t>The New England Journal of Medicine</w:t>
      </w:r>
      <w:r w:rsidRPr="003A2CB7">
        <w:rPr>
          <w:sz w:val="20"/>
          <w:szCs w:val="20"/>
        </w:rPr>
        <w:t xml:space="preserve">, </w:t>
      </w:r>
      <w:r w:rsidRPr="003A2CB7">
        <w:rPr>
          <w:i/>
          <w:sz w:val="20"/>
          <w:szCs w:val="20"/>
        </w:rPr>
        <w:t>341</w:t>
      </w:r>
      <w:r w:rsidRPr="003A2CB7">
        <w:rPr>
          <w:sz w:val="20"/>
          <w:szCs w:val="20"/>
        </w:rPr>
        <w:t>(18), 1329–1335. https://doi.org/10.1056/NEJM199910283411801</w:t>
      </w:r>
    </w:p>
    <w:p w14:paraId="285E6D4A"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Slavich, G. M., &amp; Irwin, M. R. (2014). From stress to inflammation and major depressive disorder: A social signal transduction theory of depression. </w:t>
      </w:r>
      <w:r w:rsidRPr="003A2CB7">
        <w:rPr>
          <w:i/>
          <w:sz w:val="20"/>
          <w:szCs w:val="20"/>
        </w:rPr>
        <w:t>Psychological Bulletin</w:t>
      </w:r>
      <w:r w:rsidRPr="003A2CB7">
        <w:rPr>
          <w:sz w:val="20"/>
          <w:szCs w:val="20"/>
        </w:rPr>
        <w:t xml:space="preserve">, </w:t>
      </w:r>
      <w:r w:rsidRPr="003A2CB7">
        <w:rPr>
          <w:i/>
          <w:sz w:val="20"/>
          <w:szCs w:val="20"/>
        </w:rPr>
        <w:t>140</w:t>
      </w:r>
      <w:r w:rsidRPr="003A2CB7">
        <w:rPr>
          <w:sz w:val="20"/>
          <w:szCs w:val="20"/>
        </w:rPr>
        <w:t>(3), 774–815. https://doi.org/10.1037/a0035302</w:t>
      </w:r>
    </w:p>
    <w:p w14:paraId="4993775D"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Stone, J., Carson, A., &amp; Sharpe, M. (2005). Functional symptoms and signs in neurology: Assessment and diagnosis. </w:t>
      </w:r>
      <w:r w:rsidRPr="003A2CB7">
        <w:rPr>
          <w:i/>
          <w:sz w:val="20"/>
          <w:szCs w:val="20"/>
        </w:rPr>
        <w:t>Journal of Neurology, Neurosurgery &amp; Psychiatry</w:t>
      </w:r>
      <w:r w:rsidRPr="003A2CB7">
        <w:rPr>
          <w:sz w:val="20"/>
          <w:szCs w:val="20"/>
        </w:rPr>
        <w:t xml:space="preserve">, </w:t>
      </w:r>
      <w:r w:rsidRPr="003A2CB7">
        <w:rPr>
          <w:i/>
          <w:sz w:val="20"/>
          <w:szCs w:val="20"/>
        </w:rPr>
        <w:t>76</w:t>
      </w:r>
      <w:r w:rsidRPr="003A2CB7">
        <w:rPr>
          <w:sz w:val="20"/>
          <w:szCs w:val="20"/>
        </w:rPr>
        <w:t>(Suppl 1), i2–i12. https://doi.org/10.1136/jnnp.2004.061655</w:t>
      </w:r>
    </w:p>
    <w:p w14:paraId="39570F90"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Thayer, J. F., &amp; Lane, R. D. (2000). A model of neurovisceral integration in emotion regulation and dysregulation. </w:t>
      </w:r>
      <w:r w:rsidRPr="003A2CB7">
        <w:rPr>
          <w:i/>
          <w:sz w:val="20"/>
          <w:szCs w:val="20"/>
        </w:rPr>
        <w:t>Journal of Affective Disorders</w:t>
      </w:r>
      <w:r w:rsidRPr="003A2CB7">
        <w:rPr>
          <w:sz w:val="20"/>
          <w:szCs w:val="20"/>
        </w:rPr>
        <w:t xml:space="preserve">, </w:t>
      </w:r>
      <w:r w:rsidRPr="003A2CB7">
        <w:rPr>
          <w:i/>
          <w:sz w:val="20"/>
          <w:szCs w:val="20"/>
        </w:rPr>
        <w:t>61</w:t>
      </w:r>
      <w:r w:rsidRPr="003A2CB7">
        <w:rPr>
          <w:sz w:val="20"/>
          <w:szCs w:val="20"/>
        </w:rPr>
        <w:t>(3), 201–216. https://doi.org/10.1016/S0165-0327(00)00338-4</w:t>
      </w:r>
    </w:p>
    <w:p w14:paraId="5BFCECEA"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Trauer, J. M., Qian, M. Y., Doyle, J. S., Rajaratnam, S. M. W., &amp; Cunnington, D. (2015). Cognitive behavioral therapy for chronic insomnia: A systematic review and meta-analysis. </w:t>
      </w:r>
      <w:r w:rsidRPr="003A2CB7">
        <w:rPr>
          <w:i/>
          <w:sz w:val="20"/>
          <w:szCs w:val="20"/>
        </w:rPr>
        <w:t>Annals of Internal Medicine</w:t>
      </w:r>
      <w:r w:rsidRPr="003A2CB7">
        <w:rPr>
          <w:sz w:val="20"/>
          <w:szCs w:val="20"/>
        </w:rPr>
        <w:t xml:space="preserve">, </w:t>
      </w:r>
      <w:r w:rsidRPr="003A2CB7">
        <w:rPr>
          <w:i/>
          <w:sz w:val="20"/>
          <w:szCs w:val="20"/>
        </w:rPr>
        <w:t>163</w:t>
      </w:r>
      <w:r w:rsidRPr="003A2CB7">
        <w:rPr>
          <w:sz w:val="20"/>
          <w:szCs w:val="20"/>
        </w:rPr>
        <w:t>(3), 191–204. https://doi.org/10.7326/M14-2841</w:t>
      </w:r>
    </w:p>
    <w:p w14:paraId="1119B28A"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Woolf, C. J. (2011). Central sensitization: Implications for the diagnosis and treatment of pain. </w:t>
      </w:r>
      <w:r w:rsidRPr="003A2CB7">
        <w:rPr>
          <w:i/>
          <w:sz w:val="20"/>
          <w:szCs w:val="20"/>
        </w:rPr>
        <w:t>Pain</w:t>
      </w:r>
      <w:r w:rsidRPr="003A2CB7">
        <w:rPr>
          <w:sz w:val="20"/>
          <w:szCs w:val="20"/>
        </w:rPr>
        <w:t xml:space="preserve">, </w:t>
      </w:r>
      <w:r w:rsidRPr="003A2CB7">
        <w:rPr>
          <w:i/>
          <w:sz w:val="20"/>
          <w:szCs w:val="20"/>
        </w:rPr>
        <w:t>152</w:t>
      </w:r>
      <w:r w:rsidRPr="003A2CB7">
        <w:rPr>
          <w:sz w:val="20"/>
          <w:szCs w:val="20"/>
        </w:rPr>
        <w:t>(3 Suppl), S2–S15. https://doi.org/10.1016/j.pain.2010.09.030</w:t>
      </w:r>
    </w:p>
    <w:p w14:paraId="21E31055" w14:textId="77777777" w:rsidR="003A2CB7" w:rsidRPr="003A2CB7" w:rsidRDefault="003A2CB7" w:rsidP="003A2CB7">
      <w:pPr>
        <w:widowControl w:val="0"/>
        <w:tabs>
          <w:tab w:val="left" w:pos="360"/>
        </w:tabs>
        <w:autoSpaceDE w:val="0"/>
        <w:autoSpaceDN w:val="0"/>
        <w:adjustRightInd w:val="0"/>
        <w:spacing w:after="120"/>
        <w:ind w:left="360" w:hanging="360"/>
        <w:jc w:val="both"/>
        <w:rPr>
          <w:sz w:val="20"/>
          <w:szCs w:val="20"/>
        </w:rPr>
      </w:pPr>
      <w:r w:rsidRPr="003A2CB7">
        <w:rPr>
          <w:sz w:val="20"/>
          <w:szCs w:val="20"/>
        </w:rPr>
        <w:t xml:space="preserve">Yunus, M. B. (2007). Fibromyalgia and overlapping disorders: The unifying concept of central sensitivity syndromes. </w:t>
      </w:r>
      <w:r w:rsidRPr="003A2CB7">
        <w:rPr>
          <w:i/>
          <w:sz w:val="20"/>
          <w:szCs w:val="20"/>
        </w:rPr>
        <w:t>Seminars in Arthritis and Rheumatism</w:t>
      </w:r>
      <w:r w:rsidRPr="003A2CB7">
        <w:rPr>
          <w:sz w:val="20"/>
          <w:szCs w:val="20"/>
        </w:rPr>
        <w:t xml:space="preserve">, </w:t>
      </w:r>
      <w:r w:rsidRPr="003A2CB7">
        <w:rPr>
          <w:i/>
          <w:sz w:val="20"/>
          <w:szCs w:val="20"/>
        </w:rPr>
        <w:t>36</w:t>
      </w:r>
      <w:r w:rsidRPr="003A2CB7">
        <w:rPr>
          <w:sz w:val="20"/>
          <w:szCs w:val="20"/>
        </w:rPr>
        <w:t>(6), 339–356. https://doi.org/10.1016/j.semarthrit.2006.12.009</w:t>
      </w:r>
    </w:p>
    <w:p w14:paraId="1CE02970" w14:textId="1646D7CB" w:rsidR="0007058E" w:rsidRPr="002D76C8" w:rsidRDefault="0007058E" w:rsidP="006F4C10">
      <w:pPr>
        <w:widowControl w:val="0"/>
        <w:tabs>
          <w:tab w:val="left" w:pos="360"/>
        </w:tabs>
        <w:autoSpaceDE w:val="0"/>
        <w:autoSpaceDN w:val="0"/>
        <w:adjustRightInd w:val="0"/>
        <w:spacing w:after="120"/>
        <w:ind w:left="360" w:hanging="360"/>
        <w:jc w:val="both"/>
        <w:rPr>
          <w:sz w:val="20"/>
          <w:szCs w:val="20"/>
        </w:rPr>
      </w:pPr>
    </w:p>
    <w:sectPr w:rsidR="0007058E" w:rsidRPr="002D76C8" w:rsidSect="007E71DC">
      <w:type w:val="continuous"/>
      <w:pgSz w:w="11894" w:h="16157" w:code="9"/>
      <w:pgMar w:top="1411" w:right="1138" w:bottom="1699" w:left="1138" w:header="1138" w:footer="1138"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87AF2" w14:textId="77777777" w:rsidR="00D00E98" w:rsidRDefault="00D00E98" w:rsidP="008834B4">
      <w:r>
        <w:separator/>
      </w:r>
    </w:p>
  </w:endnote>
  <w:endnote w:type="continuationSeparator" w:id="0">
    <w:p w14:paraId="2C5E227D" w14:textId="77777777" w:rsidR="00D00E98" w:rsidRDefault="00D00E98"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ヒラギノ角ゴ Pro W3">
    <w:charset w:val="80"/>
    <w:family w:val="swiss"/>
    <w:pitch w:val="variable"/>
    <w:sig w:usb0="E00002FF" w:usb1="7AC7FFFF" w:usb2="00000012" w:usb3="00000000" w:csb0="0002000D" w:csb1="00000000"/>
  </w:font>
  <w:font w:name="Times New Roman Bold">
    <w:panose1 w:val="02020803070505020304"/>
    <w:charset w:val="00"/>
    <w:family w:val="roman"/>
    <w:pitch w:val="variable"/>
    <w:sig w:usb0="E0002AEF" w:usb1="C0007841" w:usb2="00000009" w:usb3="00000000" w:csb0="000001FF" w:csb1="00000000"/>
  </w:font>
  <w:font w:name="Times New Roman Bold Italic">
    <w:panose1 w:val="02020703060505090304"/>
    <w:charset w:val="00"/>
    <w:family w:val="roman"/>
    <w:pitch w:val="variable"/>
    <w:sig w:usb0="E0000AFF" w:usb1="00007843" w:usb2="00000001" w:usb3="00000000" w:csb0="000001B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90DC" w14:textId="77777777" w:rsidR="00D62FAB" w:rsidRPr="00D62FAB" w:rsidRDefault="001609C1">
    <w:pPr>
      <w:pStyle w:val="Footer"/>
      <w:jc w:val="center"/>
      <w:rPr>
        <w:sz w:val="14"/>
      </w:rPr>
    </w:pPr>
    <w:r w:rsidRPr="00D62FAB">
      <w:rPr>
        <w:sz w:val="14"/>
      </w:rPr>
      <w:fldChar w:fldCharType="begin"/>
    </w:r>
    <w:r w:rsidR="00D62FAB" w:rsidRPr="00D62FAB">
      <w:rPr>
        <w:sz w:val="14"/>
      </w:rPr>
      <w:instrText xml:space="preserve"> PAGE   \* MERGEFORMAT </w:instrText>
    </w:r>
    <w:r w:rsidRPr="00D62FAB">
      <w:rPr>
        <w:sz w:val="14"/>
      </w:rPr>
      <w:fldChar w:fldCharType="separate"/>
    </w:r>
    <w:r w:rsidR="008C6F30">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02C5" w14:textId="77777777" w:rsidR="002076A1" w:rsidRPr="00FA56E2" w:rsidRDefault="002076A1">
    <w:pPr>
      <w:pStyle w:val="Footer"/>
      <w:rPr>
        <w:sz w:val="14"/>
        <w:szCs w:val="14"/>
      </w:rPr>
    </w:pPr>
  </w:p>
  <w:p w14:paraId="70BC04A6" w14:textId="15E9C2D4" w:rsidR="002076A1" w:rsidRPr="00C1211D" w:rsidRDefault="00C1211D" w:rsidP="00DE792B">
    <w:pPr>
      <w:pStyle w:val="Footer"/>
      <w:tabs>
        <w:tab w:val="left" w:pos="2880"/>
      </w:tabs>
      <w:ind w:left="2268"/>
      <w:jc w:val="right"/>
    </w:pPr>
    <w:r w:rsidRPr="00C1211D">
      <w:rPr>
        <w:sz w:val="14"/>
      </w:rPr>
      <w:t>© 20</w:t>
    </w:r>
    <w:r w:rsidR="00DE792B">
      <w:rPr>
        <w:sz w:val="14"/>
      </w:rPr>
      <w:t>25</w:t>
    </w:r>
    <w:r w:rsidRPr="00C1211D">
      <w:rPr>
        <w:sz w:val="14"/>
      </w:rPr>
      <w:t xml:space="preserve"> The Author(s). This open access article is distributed under a Creative Commons Attribution (CC-BY</w:t>
    </w:r>
    <w:r w:rsidR="00DE792B">
      <w:rPr>
        <w:sz w:val="14"/>
      </w:rPr>
      <w:t>-NC</w:t>
    </w:r>
    <w:r w:rsidRPr="00C1211D">
      <w:rPr>
        <w:sz w:val="14"/>
      </w:rPr>
      <w:t xml:space="preserve">) </w:t>
    </w:r>
    <w:r w:rsidR="00DE792B">
      <w:rPr>
        <w:sz w:val="14"/>
      </w:rPr>
      <w:t>4</w:t>
    </w:r>
    <w:r w:rsidRPr="00C1211D">
      <w:rPr>
        <w:sz w:val="14"/>
      </w:rPr>
      <w:t xml:space="preserve">.0 </w:t>
    </w:r>
    <w:r w:rsidR="00417AEB">
      <w:rPr>
        <w:sz w:val="14"/>
      </w:rPr>
      <w:t xml:space="preserve">Int. </w:t>
    </w:r>
    <w:r w:rsidRPr="00C1211D">
      <w:rPr>
        <w:sz w:val="14"/>
      </w:rPr>
      <w:t>license.</w:t>
    </w:r>
  </w:p>
  <w:p w14:paraId="780B4EA9" w14:textId="096213F4" w:rsidR="002076A1" w:rsidRPr="00C1211D" w:rsidRDefault="00DE792B">
    <w:pPr>
      <w:pStyle w:val="Footer"/>
    </w:pPr>
    <w:r>
      <w:rPr>
        <w:noProof/>
      </w:rPr>
      <w:drawing>
        <wp:inline distT="0" distB="0" distL="0" distR="0" wp14:anchorId="22A66CEC" wp14:editId="574E5F18">
          <wp:extent cx="1152000" cy="327586"/>
          <wp:effectExtent l="0" t="0" r="0" b="0"/>
          <wp:docPr id="582538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000" cy="32758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C6BAB" w14:textId="77777777" w:rsidR="00D00E98" w:rsidRDefault="00D00E98" w:rsidP="008834B4">
      <w:r>
        <w:separator/>
      </w:r>
    </w:p>
  </w:footnote>
  <w:footnote w:type="continuationSeparator" w:id="0">
    <w:p w14:paraId="5FA69871" w14:textId="77777777" w:rsidR="00D00E98" w:rsidRDefault="00D00E98"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C730" w14:textId="756221CC" w:rsidR="002076A1" w:rsidRPr="00E13E10" w:rsidRDefault="00417AEB" w:rsidP="00A167AB">
    <w:pPr>
      <w:rPr>
        <w:sz w:val="14"/>
      </w:rPr>
    </w:pPr>
    <w:r>
      <w:rPr>
        <w:sz w:val="14"/>
      </w:rPr>
      <w:t>Hiramoto T</w:t>
    </w:r>
    <w:r w:rsidR="002076A1" w:rsidRPr="00E13E10">
      <w:rPr>
        <w:sz w:val="14"/>
      </w:rPr>
      <w:t xml:space="preserve"> et al</w:t>
    </w:r>
    <w:r>
      <w:rPr>
        <w:sz w:val="14"/>
      </w:rPr>
      <w:t>.</w:t>
    </w:r>
    <w:r w:rsidR="002076A1" w:rsidRPr="00E13E10">
      <w:rPr>
        <w:sz w:val="14"/>
      </w:rPr>
      <w:t xml:space="preserve">, </w:t>
    </w:r>
    <w:r w:rsidR="00DE792B">
      <w:rPr>
        <w:i/>
        <w:sz w:val="14"/>
      </w:rPr>
      <w:t>Core</w:t>
    </w:r>
    <w:r w:rsidR="002076A1" w:rsidRPr="00E13E10">
      <w:rPr>
        <w:i/>
        <w:sz w:val="14"/>
      </w:rPr>
      <w:t xml:space="preserve"> </w:t>
    </w:r>
    <w:r w:rsidR="00DE792B">
      <w:rPr>
        <w:i/>
        <w:sz w:val="14"/>
      </w:rPr>
      <w:t>Reports</w:t>
    </w:r>
    <w:r w:rsidR="002076A1" w:rsidRPr="00E13E10">
      <w:rPr>
        <w:i/>
        <w:sz w:val="14"/>
      </w:rPr>
      <w:t xml:space="preserve"> </w:t>
    </w:r>
    <w:r w:rsidR="00DE792B">
      <w:rPr>
        <w:sz w:val="14"/>
      </w:rPr>
      <w:t>202</w:t>
    </w:r>
    <w:r>
      <w:rPr>
        <w:sz w:val="14"/>
      </w:rPr>
      <w:t>6</w:t>
    </w:r>
    <w:r w:rsidR="002076A1" w:rsidRPr="00E13E10">
      <w:rPr>
        <w:sz w:val="14"/>
      </w:rPr>
      <w:t xml:space="preserve">, Volume </w:t>
    </w:r>
    <w:r>
      <w:rPr>
        <w:sz w:val="14"/>
      </w:rPr>
      <w:t>2</w:t>
    </w:r>
    <w:r w:rsidR="00D7159C">
      <w:rPr>
        <w:sz w:val="14"/>
      </w:rPr>
      <w:t xml:space="preserve"> </w:t>
    </w:r>
    <w:r w:rsidR="00D622B0">
      <w:rPr>
        <w:sz w:val="14"/>
      </w:rPr>
      <w:t xml:space="preserve">(Issue </w:t>
    </w:r>
    <w:r>
      <w:rPr>
        <w:sz w:val="14"/>
      </w:rPr>
      <w:t>1</w:t>
    </w:r>
    <w:r w:rsidR="00D622B0">
      <w:rPr>
        <w:sz w:val="14"/>
      </w:rPr>
      <w:t>)</w:t>
    </w:r>
    <w:r w:rsidR="002076A1" w:rsidRPr="00E13E10">
      <w:rPr>
        <w:sz w:val="14"/>
      </w:rPr>
      <w:t xml:space="preserve">: Page </w:t>
    </w:r>
    <w:r w:rsidR="00D622B0">
      <w:rPr>
        <w:sz w:val="14"/>
      </w:rPr>
      <w:t>E</w:t>
    </w:r>
    <w:r>
      <w:rPr>
        <w:sz w:val="14"/>
      </w:rPr>
      <w:t>14</w:t>
    </w:r>
    <w:r w:rsidR="00D622B0">
      <w:rPr>
        <w:sz w:val="14"/>
      </w:rPr>
      <w:t>.</w:t>
    </w:r>
    <w:r w:rsidR="00D7159C">
      <w:rPr>
        <w:sz w:val="14"/>
      </w:rPr>
      <w:t>1-</w:t>
    </w:r>
    <w:r>
      <w:rPr>
        <w:sz w:val="14"/>
      </w:rPr>
      <w:t>9</w:t>
    </w:r>
  </w:p>
  <w:p w14:paraId="24553217" w14:textId="66F50777" w:rsidR="00F71A34" w:rsidRPr="00E13E10" w:rsidRDefault="00F71A34" w:rsidP="00F71A34">
    <w:pPr>
      <w:pStyle w:val="Header"/>
      <w:pBdr>
        <w:bottom w:val="single" w:sz="4" w:space="1" w:color="auto"/>
      </w:pBdr>
      <w:jc w:val="both"/>
      <w:rPr>
        <w:b/>
        <w:sz w:val="14"/>
      </w:rPr>
    </w:pPr>
    <w:r w:rsidRPr="00E13E10">
      <w:rPr>
        <w:b/>
        <w:sz w:val="14"/>
      </w:rPr>
      <w:t>DOI:</w:t>
    </w:r>
    <w:r w:rsidR="00A1103C">
      <w:rPr>
        <w:b/>
        <w:sz w:val="14"/>
      </w:rPr>
      <w:t xml:space="preserve"> </w:t>
    </w:r>
    <w:r w:rsidR="00417AEB" w:rsidRPr="00417AEB">
      <w:rPr>
        <w:b/>
        <w:sz w:val="14"/>
      </w:rPr>
      <w:t>10.5281/zenodo.21063554</w:t>
    </w:r>
  </w:p>
  <w:p w14:paraId="736F51ED" w14:textId="77777777" w:rsidR="00F71A34" w:rsidRPr="00E13E10" w:rsidRDefault="00F71A34"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6AE3" w14:textId="77777777" w:rsidR="002076A1" w:rsidRPr="008834B4" w:rsidRDefault="001B029C" w:rsidP="00A167AB">
    <w:pPr>
      <w:pStyle w:val="Header"/>
      <w:tabs>
        <w:tab w:val="left" w:pos="7566"/>
        <w:tab w:val="right" w:pos="9020"/>
      </w:tabs>
      <w:rPr>
        <w:rFonts w:ascii="Avenir Black" w:hAnsi="Avenir Black"/>
      </w:rPr>
    </w:pPr>
    <w:r>
      <w:rPr>
        <w:rFonts w:ascii="Avenir Book" w:hAnsi="Avenir Book"/>
        <w:noProof/>
        <w:sz w:val="20"/>
      </w:rPr>
      <mc:AlternateContent>
        <mc:Choice Requires="wps">
          <w:drawing>
            <wp:anchor distT="0" distB="0" distL="114300" distR="114300" simplePos="0" relativeHeight="251658240" behindDoc="0" locked="0" layoutInCell="1" allowOverlap="1" wp14:anchorId="349A4C16" wp14:editId="2AE5E3E0">
              <wp:simplePos x="0" y="0"/>
              <wp:positionH relativeFrom="column">
                <wp:posOffset>0</wp:posOffset>
              </wp:positionH>
              <wp:positionV relativeFrom="paragraph">
                <wp:posOffset>-113665</wp:posOffset>
              </wp:positionV>
              <wp:extent cx="6098540" cy="45720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8540" cy="457200"/>
                      </a:xfrm>
                      <a:prstGeom prst="rect">
                        <a:avLst/>
                      </a:prstGeom>
                      <a:solidFill>
                        <a:srgbClr val="8F050E"/>
                      </a:solidFill>
                      <a:ln>
                        <a:noFill/>
                      </a:ln>
                    </wps:spPr>
                    <wps:txbx>
                      <w:txbxContent>
                        <w:p w14:paraId="4043EE1A" w14:textId="268F68DC" w:rsidR="002076A1" w:rsidRPr="008C6F30" w:rsidRDefault="002076A1" w:rsidP="006F3D3C">
                          <w:pPr>
                            <w:ind w:right="136"/>
                            <w:jc w:val="right"/>
                            <w:rPr>
                              <w:i/>
                              <w:color w:val="FFFFFF"/>
                            </w:rPr>
                          </w:pPr>
                          <w:r w:rsidRPr="008C6F30">
                            <w:rPr>
                              <w:i/>
                              <w:color w:val="FFFFFF"/>
                            </w:rPr>
                            <w:t xml:space="preserve"> </w:t>
                          </w:r>
                          <w:r w:rsidR="00DE792B">
                            <w:rPr>
                              <w:i/>
                              <w:color w:val="FFFFFF"/>
                            </w:rPr>
                            <w:t>Core</w:t>
                          </w:r>
                          <w:r w:rsidRPr="008C6F30">
                            <w:rPr>
                              <w:i/>
                              <w:color w:val="FFFFFF"/>
                            </w:rPr>
                            <w:t xml:space="preserve"> </w:t>
                          </w:r>
                          <w:r w:rsidR="00DE792B">
                            <w:rPr>
                              <w:i/>
                              <w:color w:val="FFFFFF"/>
                            </w:rPr>
                            <w:t>Reports</w:t>
                          </w:r>
                          <w:r w:rsidR="00A27720" w:rsidRPr="008C6F30">
                            <w:rPr>
                              <w:i/>
                              <w:color w:val="FFFFFF"/>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49A4C16" id="Rectangle 4" o:spid="_x0000_s1026" style="position:absolute;margin-left:0;margin-top:-8.95pt;width:480.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" fillcolor="#8f050e" stroked="f">
              <v:textbox>
                <w:txbxContent>
                  <w:p w14:paraId="4043EE1A" w14:textId="268F68DC" w:rsidR="002076A1" w:rsidRPr="008C6F30" w:rsidRDefault="002076A1" w:rsidP="006F3D3C">
                    <w:pPr>
                      <w:ind w:right="136"/>
                      <w:jc w:val="right"/>
                      <w:rPr>
                        <w:i/>
                        <w:color w:val="FFFFFF"/>
                      </w:rPr>
                    </w:pPr>
                    <w:r w:rsidRPr="008C6F30">
                      <w:rPr>
                        <w:i/>
                        <w:color w:val="FFFFFF"/>
                      </w:rPr>
                      <w:t xml:space="preserve"> </w:t>
                    </w:r>
                    <w:r w:rsidR="00DE792B">
                      <w:rPr>
                        <w:i/>
                        <w:color w:val="FFFFFF"/>
                      </w:rPr>
                      <w:t>Core</w:t>
                    </w:r>
                    <w:r w:rsidRPr="008C6F30">
                      <w:rPr>
                        <w:i/>
                        <w:color w:val="FFFFFF"/>
                      </w:rPr>
                      <w:t xml:space="preserve"> </w:t>
                    </w:r>
                    <w:r w:rsidR="00DE792B">
                      <w:rPr>
                        <w:i/>
                        <w:color w:val="FFFFFF"/>
                      </w:rPr>
                      <w:t>Reports</w:t>
                    </w:r>
                    <w:r w:rsidR="00A27720" w:rsidRPr="008C6F30">
                      <w:rPr>
                        <w:i/>
                        <w:color w:val="FFFFFF"/>
                      </w:rPr>
                      <w:t xml:space="preserve"> </w:t>
                    </w:r>
                  </w:p>
                </w:txbxContent>
              </v:textbox>
            </v:rect>
          </w:pict>
        </mc:Fallback>
      </mc:AlternateContent>
    </w:r>
    <w:r w:rsidR="002076A1">
      <w:rPr>
        <w:rFonts w:ascii="Avenir Black" w:hAnsi="Avenir Black"/>
      </w:rPr>
      <w:tab/>
    </w:r>
    <w:r w:rsidR="002076A1">
      <w:rPr>
        <w:rFonts w:ascii="Avenir Black" w:hAnsi="Avenir Black"/>
      </w:rPr>
      <w:tab/>
    </w:r>
    <w:r w:rsidR="002076A1">
      <w:rPr>
        <w:rFonts w:ascii="Avenir Black" w:hAnsi="Avenir Black"/>
      </w:rPr>
      <w:tab/>
    </w:r>
    <w:r w:rsidR="002076A1">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4026BBA"/>
    <w:multiLevelType w:val="multilevel"/>
    <w:tmpl w:val="0B76F8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3C2132B"/>
    <w:multiLevelType w:val="multilevel"/>
    <w:tmpl w:val="1EFAC11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8312722"/>
    <w:multiLevelType w:val="multilevel"/>
    <w:tmpl w:val="E7B0F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0D50E3"/>
    <w:multiLevelType w:val="multilevel"/>
    <w:tmpl w:val="A6D4A3E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1F1927"/>
    <w:multiLevelType w:val="multilevel"/>
    <w:tmpl w:val="35BE3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C0FDE"/>
    <w:multiLevelType w:val="hybridMultilevel"/>
    <w:tmpl w:val="BCE63B08"/>
    <w:lvl w:ilvl="0" w:tplc="2C0C27C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EE2053A"/>
    <w:multiLevelType w:val="multilevel"/>
    <w:tmpl w:val="6BBC72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6FCA67A9"/>
    <w:multiLevelType w:val="multilevel"/>
    <w:tmpl w:val="339673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7FC03340"/>
    <w:multiLevelType w:val="multilevel"/>
    <w:tmpl w:val="C9D8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3090902">
    <w:abstractNumId w:val="0"/>
  </w:num>
  <w:num w:numId="2" w16cid:durableId="2144810253">
    <w:abstractNumId w:val="5"/>
  </w:num>
  <w:num w:numId="3" w16cid:durableId="1865244565">
    <w:abstractNumId w:val="7"/>
  </w:num>
  <w:num w:numId="4" w16cid:durableId="15035582">
    <w:abstractNumId w:val="8"/>
  </w:num>
  <w:num w:numId="5" w16cid:durableId="2127776755">
    <w:abstractNumId w:val="3"/>
  </w:num>
  <w:num w:numId="6" w16cid:durableId="1707868661">
    <w:abstractNumId w:val="11"/>
  </w:num>
  <w:num w:numId="7" w16cid:durableId="1273708268">
    <w:abstractNumId w:val="9"/>
  </w:num>
  <w:num w:numId="8" w16cid:durableId="615256696">
    <w:abstractNumId w:val="10"/>
  </w:num>
  <w:num w:numId="9" w16cid:durableId="660737248">
    <w:abstractNumId w:val="6"/>
  </w:num>
  <w:num w:numId="10" w16cid:durableId="586498539">
    <w:abstractNumId w:val="2"/>
  </w:num>
  <w:num w:numId="11" w16cid:durableId="560167570">
    <w:abstractNumId w:val="1"/>
  </w:num>
  <w:num w:numId="12" w16cid:durableId="1652057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0E"/>
    <w:rsid w:val="0001490C"/>
    <w:rsid w:val="000205F1"/>
    <w:rsid w:val="00060115"/>
    <w:rsid w:val="000702F6"/>
    <w:rsid w:val="0007058E"/>
    <w:rsid w:val="000757FB"/>
    <w:rsid w:val="0008195C"/>
    <w:rsid w:val="00085B45"/>
    <w:rsid w:val="000A35AF"/>
    <w:rsid w:val="000A3C40"/>
    <w:rsid w:val="000A4990"/>
    <w:rsid w:val="000B5141"/>
    <w:rsid w:val="000D3901"/>
    <w:rsid w:val="000D53CB"/>
    <w:rsid w:val="000F1D02"/>
    <w:rsid w:val="001054E9"/>
    <w:rsid w:val="00127F46"/>
    <w:rsid w:val="001301A4"/>
    <w:rsid w:val="00145228"/>
    <w:rsid w:val="001609C1"/>
    <w:rsid w:val="00167485"/>
    <w:rsid w:val="0017024C"/>
    <w:rsid w:val="001722B1"/>
    <w:rsid w:val="00184ED3"/>
    <w:rsid w:val="00192A1D"/>
    <w:rsid w:val="001A2BFE"/>
    <w:rsid w:val="001B029C"/>
    <w:rsid w:val="001C09B7"/>
    <w:rsid w:val="001C480C"/>
    <w:rsid w:val="001D7A3D"/>
    <w:rsid w:val="001D7CA6"/>
    <w:rsid w:val="001E0531"/>
    <w:rsid w:val="001F002D"/>
    <w:rsid w:val="002076A1"/>
    <w:rsid w:val="0021217E"/>
    <w:rsid w:val="0022160B"/>
    <w:rsid w:val="0022198B"/>
    <w:rsid w:val="002473AC"/>
    <w:rsid w:val="00256531"/>
    <w:rsid w:val="0027481D"/>
    <w:rsid w:val="002B029F"/>
    <w:rsid w:val="002B4F1C"/>
    <w:rsid w:val="002B53A9"/>
    <w:rsid w:val="002C3B4D"/>
    <w:rsid w:val="002D76C8"/>
    <w:rsid w:val="002F5B8D"/>
    <w:rsid w:val="00315725"/>
    <w:rsid w:val="0031652E"/>
    <w:rsid w:val="00316CD5"/>
    <w:rsid w:val="003352E8"/>
    <w:rsid w:val="00340E1D"/>
    <w:rsid w:val="003451C6"/>
    <w:rsid w:val="00360BFA"/>
    <w:rsid w:val="00366132"/>
    <w:rsid w:val="00385774"/>
    <w:rsid w:val="003964FA"/>
    <w:rsid w:val="003A2CB7"/>
    <w:rsid w:val="003A2DE8"/>
    <w:rsid w:val="003A3BF5"/>
    <w:rsid w:val="003B0851"/>
    <w:rsid w:val="003C16A1"/>
    <w:rsid w:val="004057A0"/>
    <w:rsid w:val="0040725F"/>
    <w:rsid w:val="00417AEB"/>
    <w:rsid w:val="00427243"/>
    <w:rsid w:val="0043367B"/>
    <w:rsid w:val="00440EEF"/>
    <w:rsid w:val="00471A4A"/>
    <w:rsid w:val="00471CC4"/>
    <w:rsid w:val="0048214E"/>
    <w:rsid w:val="0048687B"/>
    <w:rsid w:val="004B6F4D"/>
    <w:rsid w:val="004C0BF1"/>
    <w:rsid w:val="004D11FB"/>
    <w:rsid w:val="004D2872"/>
    <w:rsid w:val="004E796A"/>
    <w:rsid w:val="00512D3B"/>
    <w:rsid w:val="00514C85"/>
    <w:rsid w:val="00530252"/>
    <w:rsid w:val="00532219"/>
    <w:rsid w:val="0053436A"/>
    <w:rsid w:val="00542D3F"/>
    <w:rsid w:val="00554976"/>
    <w:rsid w:val="0055713B"/>
    <w:rsid w:val="005604FE"/>
    <w:rsid w:val="00563554"/>
    <w:rsid w:val="00564242"/>
    <w:rsid w:val="00565553"/>
    <w:rsid w:val="0056743B"/>
    <w:rsid w:val="00575E58"/>
    <w:rsid w:val="00580595"/>
    <w:rsid w:val="00593D9A"/>
    <w:rsid w:val="005B23C1"/>
    <w:rsid w:val="00606911"/>
    <w:rsid w:val="00613245"/>
    <w:rsid w:val="00626424"/>
    <w:rsid w:val="006829D2"/>
    <w:rsid w:val="00690B10"/>
    <w:rsid w:val="006B6D7E"/>
    <w:rsid w:val="006C301A"/>
    <w:rsid w:val="006C4214"/>
    <w:rsid w:val="006D19AF"/>
    <w:rsid w:val="006E30C6"/>
    <w:rsid w:val="006F1E24"/>
    <w:rsid w:val="006F3D3C"/>
    <w:rsid w:val="006F4C10"/>
    <w:rsid w:val="00716265"/>
    <w:rsid w:val="00726A49"/>
    <w:rsid w:val="0073291E"/>
    <w:rsid w:val="0078126B"/>
    <w:rsid w:val="007A1D24"/>
    <w:rsid w:val="007B677F"/>
    <w:rsid w:val="007C6FC5"/>
    <w:rsid w:val="007D29A8"/>
    <w:rsid w:val="007E1FC6"/>
    <w:rsid w:val="007E4FB7"/>
    <w:rsid w:val="007E71DC"/>
    <w:rsid w:val="007F48D1"/>
    <w:rsid w:val="007F52F4"/>
    <w:rsid w:val="007F64A2"/>
    <w:rsid w:val="007F6D69"/>
    <w:rsid w:val="00815281"/>
    <w:rsid w:val="008364C9"/>
    <w:rsid w:val="008645DC"/>
    <w:rsid w:val="00882BBD"/>
    <w:rsid w:val="008834B4"/>
    <w:rsid w:val="008B36F2"/>
    <w:rsid w:val="008B6C17"/>
    <w:rsid w:val="008C6F30"/>
    <w:rsid w:val="0091041E"/>
    <w:rsid w:val="00916B1D"/>
    <w:rsid w:val="00962962"/>
    <w:rsid w:val="00971183"/>
    <w:rsid w:val="00971692"/>
    <w:rsid w:val="009A6FB6"/>
    <w:rsid w:val="009B0A5B"/>
    <w:rsid w:val="009C1F59"/>
    <w:rsid w:val="009D0F14"/>
    <w:rsid w:val="009E2457"/>
    <w:rsid w:val="00A007B6"/>
    <w:rsid w:val="00A040EB"/>
    <w:rsid w:val="00A06B5C"/>
    <w:rsid w:val="00A10EC7"/>
    <w:rsid w:val="00A1103C"/>
    <w:rsid w:val="00A1393A"/>
    <w:rsid w:val="00A167AB"/>
    <w:rsid w:val="00A27720"/>
    <w:rsid w:val="00A31B34"/>
    <w:rsid w:val="00A35B06"/>
    <w:rsid w:val="00A47ABA"/>
    <w:rsid w:val="00A50D33"/>
    <w:rsid w:val="00A5431A"/>
    <w:rsid w:val="00A76037"/>
    <w:rsid w:val="00A83A41"/>
    <w:rsid w:val="00A856E1"/>
    <w:rsid w:val="00AA6D5B"/>
    <w:rsid w:val="00AB0280"/>
    <w:rsid w:val="00AC1883"/>
    <w:rsid w:val="00AD3516"/>
    <w:rsid w:val="00B04046"/>
    <w:rsid w:val="00B3399C"/>
    <w:rsid w:val="00B34AD0"/>
    <w:rsid w:val="00B80BB9"/>
    <w:rsid w:val="00B91584"/>
    <w:rsid w:val="00BA7E19"/>
    <w:rsid w:val="00BB0337"/>
    <w:rsid w:val="00BB4976"/>
    <w:rsid w:val="00BB7239"/>
    <w:rsid w:val="00BC1E9F"/>
    <w:rsid w:val="00BE5196"/>
    <w:rsid w:val="00BE590D"/>
    <w:rsid w:val="00BF17B8"/>
    <w:rsid w:val="00C12027"/>
    <w:rsid w:val="00C1211D"/>
    <w:rsid w:val="00C17C98"/>
    <w:rsid w:val="00C35DD8"/>
    <w:rsid w:val="00C56BB3"/>
    <w:rsid w:val="00C80D4F"/>
    <w:rsid w:val="00C828A0"/>
    <w:rsid w:val="00C835AC"/>
    <w:rsid w:val="00CA3AD9"/>
    <w:rsid w:val="00CB7084"/>
    <w:rsid w:val="00CC337A"/>
    <w:rsid w:val="00CC3A26"/>
    <w:rsid w:val="00CC7145"/>
    <w:rsid w:val="00CD3131"/>
    <w:rsid w:val="00CD3B85"/>
    <w:rsid w:val="00CE6D08"/>
    <w:rsid w:val="00D00E98"/>
    <w:rsid w:val="00D23BD4"/>
    <w:rsid w:val="00D25933"/>
    <w:rsid w:val="00D31A9D"/>
    <w:rsid w:val="00D37085"/>
    <w:rsid w:val="00D3794A"/>
    <w:rsid w:val="00D5760A"/>
    <w:rsid w:val="00D622B0"/>
    <w:rsid w:val="00D62FAB"/>
    <w:rsid w:val="00D7159C"/>
    <w:rsid w:val="00D77515"/>
    <w:rsid w:val="00D77B97"/>
    <w:rsid w:val="00DA3B59"/>
    <w:rsid w:val="00DB2A36"/>
    <w:rsid w:val="00DE1D96"/>
    <w:rsid w:val="00DE792B"/>
    <w:rsid w:val="00E13209"/>
    <w:rsid w:val="00E13E10"/>
    <w:rsid w:val="00E33A24"/>
    <w:rsid w:val="00E34C0E"/>
    <w:rsid w:val="00E3655D"/>
    <w:rsid w:val="00E44E92"/>
    <w:rsid w:val="00E51DB9"/>
    <w:rsid w:val="00E562F6"/>
    <w:rsid w:val="00E61A8D"/>
    <w:rsid w:val="00E62B11"/>
    <w:rsid w:val="00E700B0"/>
    <w:rsid w:val="00E704DC"/>
    <w:rsid w:val="00E907C2"/>
    <w:rsid w:val="00E92539"/>
    <w:rsid w:val="00E9707A"/>
    <w:rsid w:val="00EB17ED"/>
    <w:rsid w:val="00EE234E"/>
    <w:rsid w:val="00EF037C"/>
    <w:rsid w:val="00EF26E1"/>
    <w:rsid w:val="00F03839"/>
    <w:rsid w:val="00F04BC5"/>
    <w:rsid w:val="00F07391"/>
    <w:rsid w:val="00F34C92"/>
    <w:rsid w:val="00F46669"/>
    <w:rsid w:val="00F665D4"/>
    <w:rsid w:val="00F71A34"/>
    <w:rsid w:val="00F73916"/>
    <w:rsid w:val="00F76849"/>
    <w:rsid w:val="00F847A4"/>
    <w:rsid w:val="00F87948"/>
    <w:rsid w:val="00FA0D96"/>
    <w:rsid w:val="00FA3F3E"/>
    <w:rsid w:val="00FA4DA4"/>
    <w:rsid w:val="00FA56E2"/>
    <w:rsid w:val="00FB7BBC"/>
    <w:rsid w:val="00FC659C"/>
    <w:rsid w:val="00FD2B02"/>
    <w:rsid w:val="00FD3F12"/>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218BC2E"/>
  <w15:chartTrackingRefBased/>
  <w15:docId w15:val="{1613FEA7-0910-7E47-B0CB-61B7F18B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08"/>
    <w:rPr>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lang w:val="en-US"/>
    </w:rPr>
  </w:style>
  <w:style w:type="paragraph" w:customStyle="1" w:styleId="FreeForm">
    <w:name w:val="Free Form"/>
    <w:rsid w:val="002F5B8D"/>
    <w:rPr>
      <w:rFonts w:eastAsia="ヒラギノ角ゴ Pro W3"/>
      <w:color w:val="000000"/>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rPr>
  </w:style>
  <w:style w:type="paragraph" w:customStyle="1" w:styleId="tablecolhead">
    <w:name w:val="table col head"/>
    <w:rsid w:val="002F5B8D"/>
    <w:pPr>
      <w:jc w:val="center"/>
    </w:pPr>
    <w:rPr>
      <w:rFonts w:ascii="Times New Roman Bold" w:eastAsia="ヒラギノ角ゴ Pro W3" w:hAnsi="Times New Roman Bold"/>
      <w:color w:val="000000"/>
      <w:sz w:val="16"/>
      <w:lang w:val="en-US"/>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lang w:val="en-US"/>
    </w:rPr>
  </w:style>
  <w:style w:type="paragraph" w:customStyle="1" w:styleId="tablecopy">
    <w:name w:val="table copy"/>
    <w:rsid w:val="002F5B8D"/>
    <w:pPr>
      <w:jc w:val="both"/>
    </w:pPr>
    <w:rPr>
      <w:rFonts w:eastAsia="ヒラギノ角ゴ Pro W3"/>
      <w:color w:val="000000"/>
      <w:sz w:val="16"/>
      <w:lang w:val="en-US"/>
    </w:rPr>
  </w:style>
  <w:style w:type="paragraph" w:customStyle="1" w:styleId="tablefootnote">
    <w:name w:val="table footnote"/>
    <w:rsid w:val="002F5B8D"/>
    <w:pPr>
      <w:spacing w:before="60" w:after="30"/>
      <w:jc w:val="right"/>
    </w:pPr>
    <w:rPr>
      <w:rFonts w:eastAsia="ヒラギノ角ゴ Pro W3"/>
      <w:color w:val="000000"/>
      <w:sz w:val="12"/>
      <w:lang w:val="en-US"/>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customStyle="1" w:styleId="05BHeading">
    <w:name w:val="05 B Heading"/>
    <w:basedOn w:val="Normal"/>
    <w:link w:val="05BHeadingChar"/>
    <w:rsid w:val="0007058E"/>
    <w:pPr>
      <w:spacing w:before="160" w:after="80" w:line="240" w:lineRule="exact"/>
    </w:pPr>
    <w:rPr>
      <w:rFonts w:eastAsiaTheme="minorHAnsi"/>
      <w:b/>
      <w:sz w:val="18"/>
      <w:szCs w:val="18"/>
      <w:lang w:val="en-GB"/>
    </w:rPr>
  </w:style>
  <w:style w:type="paragraph" w:customStyle="1" w:styleId="RSCB02ArticleText">
    <w:name w:val="RSC B02 Article Text"/>
    <w:basedOn w:val="Normal"/>
    <w:link w:val="RSCB02ArticleTextChar"/>
    <w:qFormat/>
    <w:rsid w:val="0007058E"/>
    <w:pPr>
      <w:spacing w:line="240" w:lineRule="exact"/>
      <w:jc w:val="both"/>
    </w:pPr>
    <w:rPr>
      <w:rFonts w:asciiTheme="minorHAnsi" w:eastAsiaTheme="minorHAnsi" w:hAnsiTheme="minorHAnsi"/>
      <w:w w:val="108"/>
      <w:sz w:val="18"/>
      <w:szCs w:val="18"/>
      <w:lang w:val="en-GB"/>
    </w:rPr>
  </w:style>
  <w:style w:type="character" w:customStyle="1" w:styleId="RSCB02ArticleTextChar">
    <w:name w:val="RSC B02 Article Text Char"/>
    <w:basedOn w:val="DefaultParagraphFont"/>
    <w:link w:val="RSCB02ArticleText"/>
    <w:rsid w:val="0007058E"/>
    <w:rPr>
      <w:rFonts w:asciiTheme="minorHAnsi" w:eastAsiaTheme="minorHAnsi" w:hAnsiTheme="minorHAnsi"/>
      <w:w w:val="108"/>
      <w:sz w:val="18"/>
      <w:szCs w:val="18"/>
      <w:lang w:val="en-GB"/>
    </w:rPr>
  </w:style>
  <w:style w:type="character" w:customStyle="1" w:styleId="05BHeadingChar">
    <w:name w:val="05 B Heading Char"/>
    <w:basedOn w:val="DefaultParagraphFont"/>
    <w:link w:val="05BHeading"/>
    <w:rsid w:val="0007058E"/>
    <w:rPr>
      <w:rFonts w:eastAsiaTheme="minorHAnsi"/>
      <w:b/>
      <w:sz w:val="18"/>
      <w:szCs w:val="18"/>
      <w:lang w:val="en-GB"/>
    </w:rPr>
  </w:style>
  <w:style w:type="character" w:styleId="UnresolvedMention">
    <w:name w:val="Unresolved Mention"/>
    <w:basedOn w:val="DefaultParagraphFont"/>
    <w:uiPriority w:val="99"/>
    <w:semiHidden/>
    <w:unhideWhenUsed/>
    <w:rsid w:val="00542D3F"/>
    <w:rPr>
      <w:color w:val="605E5C"/>
      <w:shd w:val="clear" w:color="auto" w:fill="E1DFDD"/>
    </w:rPr>
  </w:style>
  <w:style w:type="paragraph" w:styleId="NormalWeb">
    <w:name w:val="Normal (Web)"/>
    <w:basedOn w:val="Normal"/>
    <w:uiPriority w:val="99"/>
    <w:semiHidden/>
    <w:unhideWhenUsed/>
    <w:rsid w:val="00E907C2"/>
  </w:style>
  <w:style w:type="paragraph" w:styleId="ListParagraph">
    <w:name w:val="List Paragraph"/>
    <w:basedOn w:val="Normal"/>
    <w:uiPriority w:val="72"/>
    <w:qFormat/>
    <w:rsid w:val="00E907C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ti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ti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4C788-44FD-A240-8ED9-1065FFC53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5797</Words>
  <Characters>33043</Characters>
  <Application>Microsoft Office Word</Application>
  <DocSecurity>0</DocSecurity>
  <Lines>275</Lines>
  <Paragraphs>77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38763</CharactersWithSpaces>
  <SharedDoc>false</SharedDoc>
  <HLinks>
    <vt:vector size="12" baseType="variant">
      <vt:variant>
        <vt:i4>8257652</vt:i4>
      </vt:variant>
      <vt:variant>
        <vt:i4>3</vt:i4>
      </vt:variant>
      <vt:variant>
        <vt:i4>0</vt:i4>
      </vt:variant>
      <vt:variant>
        <vt:i4>5</vt:i4>
      </vt:variant>
      <vt:variant>
        <vt:lpwstr>http://www.unepie.org/pc/cp/understanding_cp/cp_industries.htm</vt:lpwstr>
      </vt:variant>
      <vt:variant>
        <vt:lpwstr/>
      </vt:variant>
      <vt:variant>
        <vt:i4>5832740</vt:i4>
      </vt:variant>
      <vt:variant>
        <vt:i4>0</vt:i4>
      </vt:variant>
      <vt:variant>
        <vt:i4>0</vt:i4>
      </vt:variant>
      <vt:variant>
        <vt:i4>5</vt:i4>
      </vt:variant>
      <vt:variant>
        <vt:lpwstr>http://www.unu.edu/unupress/unupbooks/uu27se/uu27se00.htm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Battuvshin Lkhagvasuren</cp:lastModifiedBy>
  <cp:revision>2</cp:revision>
  <cp:lastPrinted>2025-12-12T08:04:00Z</cp:lastPrinted>
  <dcterms:created xsi:type="dcterms:W3CDTF">2026-06-30T09:53:00Z</dcterms:created>
  <dcterms:modified xsi:type="dcterms:W3CDTF">2026-06-30T09:53:00Z</dcterms:modified>
</cp:coreProperties>
</file>